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C20CC" w14:textId="77777777" w:rsidR="006C3684" w:rsidRDefault="00F32F96">
      <w:pPr>
        <w:jc w:val="center"/>
        <w:rPr>
          <w:rFonts w:ascii="Century Gothic" w:eastAsia="Century Gothic" w:hAnsi="Century Gothic" w:cs="Century Gothic"/>
          <w:b/>
          <w:bCs/>
          <w:sz w:val="32"/>
          <w:szCs w:val="32"/>
        </w:rPr>
      </w:pPr>
      <w:r>
        <w:rPr>
          <w:rFonts w:ascii="Century Gothic" w:eastAsia="Century Gothic" w:hAnsi="Century Gothic" w:cs="Century Gothic"/>
          <w:noProof/>
        </w:rPr>
        <w:drawing>
          <wp:inline distT="0" distB="0" distL="0" distR="0" wp14:anchorId="50C821AD" wp14:editId="28C0BB39">
            <wp:extent cx="1873475" cy="2108899"/>
            <wp:effectExtent l="0" t="0" r="0" b="0"/>
            <wp:docPr id="1671357864" name="image3.jpg" descr="Obraz zawierający tekst, Czcionka, zrzut ekranu, log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jpg" descr="Obraz zawierający tekst, Czcionka, zrzut ekranu, logo&#10;&#10;Opis wygenerowany automatycznie"/>
                    <pic:cNvPicPr preferRelativeResize="0"/>
                  </pic:nvPicPr>
                  <pic:blipFill>
                    <a:blip r:embed="rId10"/>
                    <a:srcRect/>
                    <a:stretch>
                      <a:fillRect/>
                    </a:stretch>
                  </pic:blipFill>
                  <pic:spPr>
                    <a:xfrm>
                      <a:off x="0" y="0"/>
                      <a:ext cx="1873475" cy="2108899"/>
                    </a:xfrm>
                    <a:prstGeom prst="rect">
                      <a:avLst/>
                    </a:prstGeom>
                    <a:ln/>
                  </pic:spPr>
                </pic:pic>
              </a:graphicData>
            </a:graphic>
          </wp:inline>
        </w:drawing>
      </w:r>
    </w:p>
    <w:p w14:paraId="6AD2E6DB" w14:textId="70FBDA3E" w:rsidR="006C3684" w:rsidRDefault="00F32F96">
      <w:pPr>
        <w:jc w:val="righ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Warszawa, </w:t>
      </w:r>
      <w:r w:rsidR="007B1449">
        <w:rPr>
          <w:rFonts w:ascii="Century Gothic" w:eastAsia="Century Gothic" w:hAnsi="Century Gothic" w:cs="Century Gothic"/>
          <w:sz w:val="22"/>
          <w:szCs w:val="22"/>
        </w:rPr>
        <w:t>6</w:t>
      </w:r>
      <w:r w:rsidR="007B2FCB">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lutego 2026 r.</w:t>
      </w:r>
    </w:p>
    <w:p w14:paraId="748195DC" w14:textId="64DE7F22" w:rsidR="006C3684" w:rsidRPr="007B1449" w:rsidRDefault="00F32F96" w:rsidP="00827A22">
      <w:pPr>
        <w:jc w:val="center"/>
        <w:rPr>
          <w:rFonts w:ascii="Century Gothic" w:hAnsi="Century Gothic" w:cs="Aptos Serif"/>
          <w:b/>
          <w:bCs/>
          <w:sz w:val="36"/>
          <w:szCs w:val="36"/>
        </w:rPr>
      </w:pPr>
      <w:r w:rsidRPr="007B1449">
        <w:rPr>
          <w:rFonts w:ascii="Century Gothic" w:hAnsi="Century Gothic" w:cs="Aptos Serif"/>
          <w:b/>
          <w:bCs/>
          <w:sz w:val="36"/>
          <w:szCs w:val="36"/>
        </w:rPr>
        <w:t>Międzynarodowy Dzień Kobiet i Dziewcząt</w:t>
      </w:r>
      <w:r w:rsidR="00945FB0">
        <w:rPr>
          <w:rFonts w:ascii="Century Gothic" w:hAnsi="Century Gothic" w:cs="Aptos Serif"/>
          <w:b/>
          <w:bCs/>
          <w:sz w:val="36"/>
          <w:szCs w:val="36"/>
        </w:rPr>
        <w:br/>
      </w:r>
      <w:r w:rsidRPr="007B1449">
        <w:rPr>
          <w:rFonts w:ascii="Century Gothic" w:hAnsi="Century Gothic" w:cs="Aptos Serif"/>
          <w:b/>
          <w:bCs/>
          <w:sz w:val="36"/>
          <w:szCs w:val="36"/>
        </w:rPr>
        <w:t xml:space="preserve">w Nauce: </w:t>
      </w:r>
      <w:r w:rsidR="00983D7E" w:rsidRPr="007B1449">
        <w:rPr>
          <w:rFonts w:ascii="Century Gothic" w:eastAsiaTheme="minorEastAsia" w:hAnsi="Century Gothic" w:cs="Aptos Serif"/>
          <w:b/>
          <w:bCs/>
          <w:sz w:val="36"/>
          <w:szCs w:val="36"/>
        </w:rPr>
        <w:t>widoczność lekarstwem na znikanie</w:t>
      </w:r>
    </w:p>
    <w:p w14:paraId="4D269E82" w14:textId="54926B31" w:rsidR="00E53124" w:rsidRPr="00827A22" w:rsidRDefault="00F32F96" w:rsidP="00827A22">
      <w:pPr>
        <w:jc w:val="both"/>
        <w:rPr>
          <w:rFonts w:ascii="Century Gothic" w:eastAsia="Century Gothic" w:hAnsi="Century Gothic" w:cs="Century Gothic"/>
          <w:b/>
          <w:bCs/>
        </w:rPr>
      </w:pPr>
      <w:r>
        <w:rPr>
          <w:rFonts w:ascii="Century Gothic" w:eastAsia="Century Gothic" w:hAnsi="Century Gothic" w:cs="Century Gothic"/>
          <w:b/>
          <w:bCs/>
        </w:rPr>
        <w:t xml:space="preserve">11 lutego </w:t>
      </w:r>
      <w:r w:rsidR="00E60EC3">
        <w:rPr>
          <w:rFonts w:ascii="Century Gothic" w:eastAsia="Century Gothic" w:hAnsi="Century Gothic" w:cs="Century Gothic"/>
          <w:b/>
          <w:bCs/>
        </w:rPr>
        <w:t>świętujemy</w:t>
      </w:r>
      <w:r>
        <w:rPr>
          <w:rFonts w:ascii="Century Gothic" w:eastAsia="Century Gothic" w:hAnsi="Century Gothic" w:cs="Century Gothic"/>
          <w:b/>
          <w:bCs/>
        </w:rPr>
        <w:t xml:space="preserve"> Międzynarodowy Dzień Kobiet i Dziewcząt w Nauce. </w:t>
      </w:r>
      <w:r w:rsidR="00B74443" w:rsidRPr="00B74443">
        <w:rPr>
          <w:rFonts w:ascii="Century Gothic" w:eastAsia="Century Gothic" w:hAnsi="Century Gothic" w:cs="Century Gothic"/>
          <w:b/>
          <w:bCs/>
        </w:rPr>
        <w:t xml:space="preserve">To dobry moment, by przyjrzeć się wyzwaniom, które wciąż stoją przed </w:t>
      </w:r>
      <w:r w:rsidR="00BF0A9F">
        <w:rPr>
          <w:rFonts w:ascii="Century Gothic" w:eastAsia="Century Gothic" w:hAnsi="Century Gothic" w:cs="Century Gothic"/>
          <w:b/>
          <w:bCs/>
        </w:rPr>
        <w:t xml:space="preserve">badaczkami </w:t>
      </w:r>
      <w:r w:rsidR="00766DA0">
        <w:rPr>
          <w:rFonts w:ascii="Century Gothic" w:eastAsia="Century Gothic" w:hAnsi="Century Gothic" w:cs="Century Gothic"/>
          <w:b/>
          <w:bCs/>
        </w:rPr>
        <w:t>na drodze</w:t>
      </w:r>
      <w:r w:rsidR="003C1D50">
        <w:rPr>
          <w:rFonts w:ascii="Century Gothic" w:eastAsia="Century Gothic" w:hAnsi="Century Gothic" w:cs="Century Gothic"/>
          <w:b/>
          <w:bCs/>
        </w:rPr>
        <w:t xml:space="preserve"> </w:t>
      </w:r>
      <w:r w:rsidR="00766DA0">
        <w:rPr>
          <w:rFonts w:ascii="Century Gothic" w:eastAsia="Century Gothic" w:hAnsi="Century Gothic" w:cs="Century Gothic"/>
          <w:b/>
          <w:bCs/>
        </w:rPr>
        <w:t xml:space="preserve">rozwoju zawodowego. </w:t>
      </w:r>
      <w:r w:rsidR="00A46A9F" w:rsidRPr="00A46A9F">
        <w:rPr>
          <w:rFonts w:ascii="Century Gothic" w:eastAsia="Century Gothic" w:hAnsi="Century Gothic" w:cs="Century Gothic"/>
          <w:b/>
          <w:bCs/>
        </w:rPr>
        <w:t>Choć kobiety stanowią już niemal połowę kadry akademickiej w Polsce, ich potencjał nadal nie jest w pełni wykorzystywany.</w:t>
      </w:r>
      <w:r w:rsidR="00432A0E">
        <w:rPr>
          <w:rFonts w:ascii="Century Gothic" w:eastAsia="Century Gothic" w:hAnsi="Century Gothic" w:cs="Century Gothic"/>
          <w:b/>
          <w:bCs/>
        </w:rPr>
        <w:t xml:space="preserve"> </w:t>
      </w:r>
      <w:r w:rsidR="00FA1282">
        <w:rPr>
          <w:rFonts w:ascii="Century Gothic" w:eastAsia="Century Gothic" w:hAnsi="Century Gothic" w:cs="Century Gothic"/>
          <w:b/>
          <w:bCs/>
        </w:rPr>
        <w:t>R</w:t>
      </w:r>
      <w:r w:rsidR="00A46A9F" w:rsidRPr="00A46A9F">
        <w:rPr>
          <w:rFonts w:ascii="Century Gothic" w:eastAsia="Century Gothic" w:hAnsi="Century Gothic" w:cs="Century Gothic"/>
          <w:b/>
          <w:bCs/>
        </w:rPr>
        <w:t>aport przygotowany na zlecenie organizatorów programu L’Oréal-UNESCO Dla Kobiet i Nauki</w:t>
      </w:r>
      <w:r w:rsidR="00A46A9F">
        <w:rPr>
          <w:rFonts w:ascii="Century Gothic" w:eastAsia="Century Gothic" w:hAnsi="Century Gothic" w:cs="Century Gothic"/>
          <w:b/>
          <w:bCs/>
        </w:rPr>
        <w:t xml:space="preserve"> </w:t>
      </w:r>
      <w:r w:rsidR="00A46A9F" w:rsidRPr="00A46A9F">
        <w:rPr>
          <w:rFonts w:ascii="Century Gothic" w:eastAsia="Century Gothic" w:hAnsi="Century Gothic" w:cs="Century Gothic"/>
          <w:b/>
          <w:bCs/>
        </w:rPr>
        <w:t xml:space="preserve">– opracowany przez prof. dr hab. Nataszę </w:t>
      </w:r>
      <w:proofErr w:type="spellStart"/>
      <w:r w:rsidR="00A46A9F" w:rsidRPr="00A46A9F">
        <w:rPr>
          <w:rFonts w:ascii="Century Gothic" w:eastAsia="Century Gothic" w:hAnsi="Century Gothic" w:cs="Century Gothic"/>
          <w:b/>
          <w:bCs/>
        </w:rPr>
        <w:t>Kosakowską-Berezecką</w:t>
      </w:r>
      <w:proofErr w:type="spellEnd"/>
      <w:r w:rsidR="00A46A9F" w:rsidRPr="00A46A9F">
        <w:rPr>
          <w:rFonts w:ascii="Century Gothic" w:eastAsia="Century Gothic" w:hAnsi="Century Gothic" w:cs="Century Gothic"/>
          <w:b/>
          <w:bCs/>
        </w:rPr>
        <w:t xml:space="preserve"> oraz dr hab. Magdalenę </w:t>
      </w:r>
      <w:proofErr w:type="spellStart"/>
      <w:r w:rsidR="00A46A9F" w:rsidRPr="00A46A9F">
        <w:rPr>
          <w:rFonts w:ascii="Century Gothic" w:eastAsia="Century Gothic" w:hAnsi="Century Gothic" w:cs="Century Gothic"/>
          <w:b/>
          <w:bCs/>
        </w:rPr>
        <w:t>Żadkowską</w:t>
      </w:r>
      <w:proofErr w:type="spellEnd"/>
      <w:r w:rsidR="00A46A9F" w:rsidRPr="00A46A9F">
        <w:rPr>
          <w:rFonts w:ascii="Century Gothic" w:eastAsia="Century Gothic" w:hAnsi="Century Gothic" w:cs="Century Gothic"/>
          <w:b/>
          <w:bCs/>
        </w:rPr>
        <w:t xml:space="preserve"> – pokazuje, że równość w nauce </w:t>
      </w:r>
      <w:r w:rsidR="002518A1">
        <w:rPr>
          <w:rFonts w:ascii="Century Gothic" w:eastAsia="Century Gothic" w:hAnsi="Century Gothic" w:cs="Century Gothic"/>
          <w:b/>
          <w:bCs/>
        </w:rPr>
        <w:t xml:space="preserve">wciąż </w:t>
      </w:r>
      <w:r w:rsidR="00A46A9F" w:rsidRPr="00A46A9F">
        <w:rPr>
          <w:rFonts w:ascii="Century Gothic" w:eastAsia="Century Gothic" w:hAnsi="Century Gothic" w:cs="Century Gothic"/>
          <w:b/>
          <w:bCs/>
        </w:rPr>
        <w:t>pozostaje projektem niedokończonym.</w:t>
      </w:r>
      <w:bookmarkStart w:id="0" w:name="_heading=h.bcddp08qwjqg" w:colFirst="0" w:colLast="0"/>
      <w:bookmarkEnd w:id="0"/>
    </w:p>
    <w:p w14:paraId="1D95CF7A" w14:textId="6A795E61" w:rsidR="006C3684" w:rsidRDefault="00F32F96">
      <w:pPr>
        <w:pStyle w:val="Nagwek3"/>
        <w:keepNext w:val="0"/>
        <w:keepLines w:val="0"/>
        <w:spacing w:before="280"/>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Kobiety w nauce – liczby, które pokazują skalę problemu</w:t>
      </w:r>
    </w:p>
    <w:p w14:paraId="17452A3A" w14:textId="289F28B8" w:rsidR="006C3684" w:rsidRDefault="00F32F96">
      <w:pPr>
        <w:spacing w:before="240" w:after="240"/>
        <w:jc w:val="both"/>
        <w:rPr>
          <w:rFonts w:ascii="Century Gothic" w:eastAsia="Century Gothic" w:hAnsi="Century Gothic" w:cs="Century Gothic"/>
        </w:rPr>
      </w:pPr>
      <w:r>
        <w:rPr>
          <w:rFonts w:ascii="Century Gothic" w:eastAsia="Century Gothic" w:hAnsi="Century Gothic" w:cs="Century Gothic"/>
        </w:rPr>
        <w:t>Wnioski płynące z raportu „Efekt nagrody: widoczność lekarstwem na znikanie” wskazują, że problemem nie jest brak kompetencji, lecz mechanizmy systemowe, które stopniowo ograniczają obecność kobiet w nauce.</w:t>
      </w:r>
    </w:p>
    <w:p w14:paraId="16E52A25" w14:textId="6883A744" w:rsidR="00983D7E" w:rsidRPr="00983D7E" w:rsidRDefault="00B23BED" w:rsidP="00983D7E">
      <w:pPr>
        <w:spacing w:before="240" w:after="240"/>
        <w:jc w:val="both"/>
        <w:rPr>
          <w:rFonts w:ascii="Century Gothic" w:eastAsia="Century Gothic" w:hAnsi="Century Gothic" w:cs="Century Gothic"/>
          <w:lang w:val="pl-PL"/>
        </w:rPr>
      </w:pPr>
      <w:r w:rsidRPr="00B23BED">
        <w:rPr>
          <w:rFonts w:ascii="Century Gothic" w:eastAsia="Century Gothic" w:hAnsi="Century Gothic" w:cs="Century Gothic"/>
          <w:noProof/>
          <w:lang w:val="pl-PL"/>
        </w:rPr>
        <w:drawing>
          <wp:anchor distT="0" distB="0" distL="114300" distR="114300" simplePos="0" relativeHeight="251658242" behindDoc="1" locked="0" layoutInCell="1" allowOverlap="1" wp14:anchorId="689766C0" wp14:editId="2AFB6BFE">
            <wp:simplePos x="0" y="0"/>
            <wp:positionH relativeFrom="column">
              <wp:posOffset>22225</wp:posOffset>
            </wp:positionH>
            <wp:positionV relativeFrom="paragraph">
              <wp:posOffset>62865</wp:posOffset>
            </wp:positionV>
            <wp:extent cx="2561590" cy="1554480"/>
            <wp:effectExtent l="0" t="0" r="0" b="7620"/>
            <wp:wrapTight wrapText="bothSides">
              <wp:wrapPolygon edited="0">
                <wp:start x="0" y="0"/>
                <wp:lineTo x="0" y="21441"/>
                <wp:lineTo x="21364" y="21441"/>
                <wp:lineTo x="21364" y="0"/>
                <wp:lineTo x="0" y="0"/>
              </wp:wrapPolygon>
            </wp:wrapTight>
            <wp:docPr id="1411150113" name="Obraz 1" descr="Obraz zawierający tekst, zrzut ekranu, Czcionka,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50113" name="Obraz 1" descr="Obraz zawierający tekst, zrzut ekranu, Czcionka, logo&#10;&#10;Zawartość wygenerowana przez AI może być niepoprawna."/>
                    <pic:cNvPicPr/>
                  </pic:nvPicPr>
                  <pic:blipFill>
                    <a:blip r:embed="rId11">
                      <a:extLst>
                        <a:ext uri="{28A0092B-C50C-407E-A947-70E740481C1C}">
                          <a14:useLocalDpi xmlns:a14="http://schemas.microsoft.com/office/drawing/2010/main" val="0"/>
                        </a:ext>
                      </a:extLst>
                    </a:blip>
                    <a:stretch>
                      <a:fillRect/>
                    </a:stretch>
                  </pic:blipFill>
                  <pic:spPr>
                    <a:xfrm>
                      <a:off x="0" y="0"/>
                      <a:ext cx="2561590" cy="1554480"/>
                    </a:xfrm>
                    <a:prstGeom prst="rect">
                      <a:avLst/>
                    </a:prstGeom>
                  </pic:spPr>
                </pic:pic>
              </a:graphicData>
            </a:graphic>
            <wp14:sizeRelH relativeFrom="margin">
              <wp14:pctWidth>0</wp14:pctWidth>
            </wp14:sizeRelH>
            <wp14:sizeRelV relativeFrom="margin">
              <wp14:pctHeight>0</wp14:pctHeight>
            </wp14:sizeRelV>
          </wp:anchor>
        </w:drawing>
      </w:r>
      <w:r w:rsidR="00983D7E">
        <w:rPr>
          <w:rFonts w:ascii="Century Gothic" w:eastAsia="Century Gothic" w:hAnsi="Century Gothic" w:cs="Century Gothic"/>
          <w:lang w:val="pl-PL"/>
        </w:rPr>
        <w:t>D</w:t>
      </w:r>
      <w:r w:rsidR="00983D7E" w:rsidRPr="00983D7E">
        <w:rPr>
          <w:rFonts w:ascii="Century Gothic" w:eastAsia="Century Gothic" w:hAnsi="Century Gothic" w:cs="Century Gothic"/>
          <w:lang w:val="pl-PL"/>
        </w:rPr>
        <w:t xml:space="preserve">oświadczenie nierównego traktowania ze względu na płeć w polskim środowisku akademickim znacznie częściej dotyka kobiet niż mężczyzn </w:t>
      </w:r>
      <w:r w:rsidR="00F115A9" w:rsidRPr="00F115A9">
        <w:rPr>
          <w:rFonts w:ascii="Century Gothic" w:eastAsia="Century Gothic" w:hAnsi="Century Gothic" w:cs="Century Gothic"/>
          <w:lang w:val="pl-PL"/>
        </w:rPr>
        <w:t>–</w:t>
      </w:r>
      <w:r w:rsidR="003D70C4">
        <w:rPr>
          <w:rFonts w:ascii="Century Gothic" w:eastAsia="Century Gothic" w:hAnsi="Century Gothic" w:cs="Century Gothic"/>
          <w:lang w:val="pl-PL"/>
        </w:rPr>
        <w:t xml:space="preserve"> </w:t>
      </w:r>
      <w:r w:rsidR="00983D7E" w:rsidRPr="00983D7E">
        <w:rPr>
          <w:rFonts w:ascii="Century Gothic" w:eastAsia="Century Gothic" w:hAnsi="Century Gothic" w:cs="Century Gothic"/>
          <w:lang w:val="pl-PL"/>
        </w:rPr>
        <w:t xml:space="preserve">deklaruje je 36% badaczek wobec 9% badaczy. Połowa respondentek wskazuje również na przypadki naruszania zasad równości płci w miejscu pracy, podczas gdy wśród mężczyzn takie doświadczenia zgłasza 25%. Najczęściej wymieniane problemy obejmują nierówności płacowe, ograniczony dostęp do awansu, nadmierne </w:t>
      </w:r>
      <w:r w:rsidR="00983D7E" w:rsidRPr="00983D7E">
        <w:rPr>
          <w:rFonts w:ascii="Century Gothic" w:eastAsia="Century Gothic" w:hAnsi="Century Gothic" w:cs="Century Gothic"/>
          <w:lang w:val="pl-PL"/>
        </w:rPr>
        <w:lastRenderedPageBreak/>
        <w:t>obciążenie obowiązkami dydaktycznymi i administracyjnymi, pomijanie tytułów naukowych kobiet oraz deprecjonowanie ich kompetencji i osiągnięć.</w:t>
      </w:r>
    </w:p>
    <w:p w14:paraId="708E808A" w14:textId="0C6F1A67" w:rsidR="00983D7E" w:rsidRDefault="00983D7E" w:rsidP="00983D7E">
      <w:pPr>
        <w:spacing w:before="240" w:after="240"/>
        <w:jc w:val="both"/>
        <w:rPr>
          <w:rFonts w:ascii="Century Gothic" w:hAnsi="Century Gothic"/>
        </w:rPr>
      </w:pPr>
      <w:r w:rsidRPr="00983D7E">
        <w:rPr>
          <w:rFonts w:ascii="Century Gothic" w:eastAsia="Century Gothic" w:hAnsi="Century Gothic" w:cs="Century Gothic"/>
          <w:lang w:val="pl-PL"/>
        </w:rPr>
        <w:t>Z badania wynika także, że kobiety częściej otrzymują większą liczbę zadań niż mężczyźni zatrudnieni na analogicznych stanowiskach i znajdujący się na podobnym etapie kariery naukowej (38% wobec 24%). Jednocześnie ponad połowa badaczek odczuwa presję podejmowania dodatkowych obowiązków w celu udowodnienia swojej wartości (51% wobec 31% mężczyzn)</w:t>
      </w:r>
      <w:r>
        <w:rPr>
          <w:rStyle w:val="Odwoanieprzypisudolnego"/>
          <w:rFonts w:ascii="Century Gothic" w:hAnsi="Century Gothic"/>
        </w:rPr>
        <w:footnoteReference w:id="1"/>
      </w:r>
      <w:r w:rsidRPr="00E019DA">
        <w:rPr>
          <w:rFonts w:ascii="Century Gothic" w:hAnsi="Century Gothic"/>
        </w:rPr>
        <w:t>.</w:t>
      </w:r>
    </w:p>
    <w:p w14:paraId="4FB3A027" w14:textId="743A7E9A" w:rsidR="00983D7E" w:rsidRPr="00827A22" w:rsidRDefault="00827A22">
      <w:pPr>
        <w:spacing w:before="240" w:after="240"/>
        <w:jc w:val="both"/>
        <w:rPr>
          <w:rFonts w:ascii="Century Gothic" w:hAnsi="Century Gothic"/>
        </w:rPr>
      </w:pPr>
      <w:r w:rsidRPr="00827A22">
        <w:rPr>
          <w:rFonts w:ascii="Century Gothic" w:eastAsia="Century Gothic" w:hAnsi="Century Gothic" w:cs="Century Gothic"/>
          <w:noProof/>
          <w:lang w:val="pl-PL"/>
        </w:rPr>
        <w:drawing>
          <wp:anchor distT="0" distB="0" distL="114300" distR="114300" simplePos="0" relativeHeight="251658241" behindDoc="1" locked="0" layoutInCell="1" allowOverlap="1" wp14:anchorId="742E672B" wp14:editId="0717EED3">
            <wp:simplePos x="0" y="0"/>
            <wp:positionH relativeFrom="margin">
              <wp:align>left</wp:align>
            </wp:positionH>
            <wp:positionV relativeFrom="paragraph">
              <wp:posOffset>8255</wp:posOffset>
            </wp:positionV>
            <wp:extent cx="2421255" cy="3006090"/>
            <wp:effectExtent l="0" t="0" r="0" b="3810"/>
            <wp:wrapTight wrapText="bothSides">
              <wp:wrapPolygon edited="0">
                <wp:start x="0" y="0"/>
                <wp:lineTo x="0" y="21490"/>
                <wp:lineTo x="21413" y="21490"/>
                <wp:lineTo x="21413" y="0"/>
                <wp:lineTo x="0" y="0"/>
              </wp:wrapPolygon>
            </wp:wrapTight>
            <wp:docPr id="297443752" name="Obraz 1" descr="Obraz zawierający tekst, zrzut ekranu, wizytówka,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3752" name="Obraz 1" descr="Obraz zawierający tekst, zrzut ekranu, wizytówka, Czcionka&#10;&#10;Zawartość wygenerowana przez AI może być niepoprawna."/>
                    <pic:cNvPicPr/>
                  </pic:nvPicPr>
                  <pic:blipFill>
                    <a:blip r:embed="rId12">
                      <a:extLst>
                        <a:ext uri="{28A0092B-C50C-407E-A947-70E740481C1C}">
                          <a14:useLocalDpi xmlns:a14="http://schemas.microsoft.com/office/drawing/2010/main" val="0"/>
                        </a:ext>
                      </a:extLst>
                    </a:blip>
                    <a:stretch>
                      <a:fillRect/>
                    </a:stretch>
                  </pic:blipFill>
                  <pic:spPr>
                    <a:xfrm>
                      <a:off x="0" y="0"/>
                      <a:ext cx="2421255" cy="3006090"/>
                    </a:xfrm>
                    <a:prstGeom prst="rect">
                      <a:avLst/>
                    </a:prstGeom>
                  </pic:spPr>
                </pic:pic>
              </a:graphicData>
            </a:graphic>
            <wp14:sizeRelH relativeFrom="margin">
              <wp14:pctWidth>0</wp14:pctWidth>
            </wp14:sizeRelH>
            <wp14:sizeRelV relativeFrom="margin">
              <wp14:pctHeight>0</wp14:pctHeight>
            </wp14:sizeRelV>
          </wp:anchor>
        </w:drawing>
      </w:r>
      <w:r w:rsidR="00983D7E" w:rsidRPr="00983D7E">
        <w:rPr>
          <w:rFonts w:ascii="Century Gothic" w:eastAsia="Century Gothic" w:hAnsi="Century Gothic" w:cs="Century Gothic"/>
          <w:lang w:val="pl-PL"/>
        </w:rPr>
        <w:t>Nierówności widoczne są również na kolejnych etapach kariery akademickiej. Choć kobiety stanowią ponad połowę osób ze stopniem doktora, w gronie profesorów jest ich jedynie 28%</w:t>
      </w:r>
      <w:r w:rsidR="0003629D">
        <w:rPr>
          <w:rStyle w:val="Odwoanieprzypisudolnego"/>
          <w:rFonts w:ascii="Century Gothic" w:hAnsi="Century Gothic"/>
        </w:rPr>
        <w:footnoteReference w:id="2"/>
      </w:r>
      <w:r w:rsidR="00983D7E" w:rsidRPr="00983D7E">
        <w:rPr>
          <w:rFonts w:ascii="Century Gothic" w:eastAsia="Century Gothic" w:hAnsi="Century Gothic" w:cs="Century Gothic"/>
          <w:lang w:val="pl-PL"/>
        </w:rPr>
        <w:t xml:space="preserve">, a w obszarze STEM </w:t>
      </w:r>
      <w:r w:rsidR="00F115A9" w:rsidRPr="00F115A9">
        <w:rPr>
          <w:rFonts w:ascii="Century Gothic" w:eastAsia="Century Gothic" w:hAnsi="Century Gothic" w:cs="Century Gothic"/>
          <w:lang w:val="pl-PL"/>
        </w:rPr>
        <w:t>–</w:t>
      </w:r>
      <w:r w:rsidR="00F115A9">
        <w:rPr>
          <w:rFonts w:ascii="Century Gothic" w:eastAsia="Century Gothic" w:hAnsi="Century Gothic" w:cs="Century Gothic"/>
          <w:lang w:val="pl-PL"/>
        </w:rPr>
        <w:t xml:space="preserve"> </w:t>
      </w:r>
      <w:r w:rsidR="00983D7E" w:rsidRPr="00983D7E">
        <w:rPr>
          <w:rFonts w:ascii="Century Gothic" w:eastAsia="Century Gothic" w:hAnsi="Century Gothic" w:cs="Century Gothic"/>
          <w:lang w:val="pl-PL"/>
        </w:rPr>
        <w:t>niespełna 20%</w:t>
      </w:r>
      <w:r w:rsidR="0003629D">
        <w:rPr>
          <w:rStyle w:val="Odwoanieprzypisudolnego"/>
          <w:rFonts w:ascii="Century Gothic" w:hAnsi="Century Gothic"/>
        </w:rPr>
        <w:footnoteReference w:id="3"/>
      </w:r>
      <w:r w:rsidR="00983D7E" w:rsidRPr="00983D7E">
        <w:rPr>
          <w:rFonts w:ascii="Century Gothic" w:eastAsia="Century Gothic" w:hAnsi="Century Gothic" w:cs="Century Gothic"/>
          <w:lang w:val="pl-PL"/>
        </w:rPr>
        <w:t xml:space="preserve"> (OPI, 2023).</w:t>
      </w:r>
      <w:r w:rsidR="00983D7E">
        <w:rPr>
          <w:rFonts w:ascii="Century Gothic" w:eastAsia="Century Gothic" w:hAnsi="Century Gothic" w:cs="Century Gothic"/>
          <w:lang w:val="pl-PL"/>
        </w:rPr>
        <w:t xml:space="preserve"> </w:t>
      </w:r>
      <w:r w:rsidR="00983D7E" w:rsidRPr="00983D7E">
        <w:rPr>
          <w:rFonts w:ascii="Century Gothic" w:eastAsia="Century Gothic" w:hAnsi="Century Gothic" w:cs="Century Gothic"/>
          <w:lang w:val="pl-PL"/>
        </w:rPr>
        <w:t xml:space="preserve">Badania NCN z 2022 roku wskazują, że istotną rolę odgrywają bariery psychologiczne i kulturowe </w:t>
      </w:r>
      <w:r w:rsidR="00F115A9" w:rsidRPr="00F115A9">
        <w:rPr>
          <w:rFonts w:ascii="Century Gothic" w:eastAsia="Century Gothic" w:hAnsi="Century Gothic" w:cs="Century Gothic"/>
          <w:lang w:val="pl-PL"/>
        </w:rPr>
        <w:t>–</w:t>
      </w:r>
      <w:r w:rsidR="00983D7E" w:rsidRPr="00983D7E">
        <w:rPr>
          <w:rFonts w:ascii="Century Gothic" w:eastAsia="Century Gothic" w:hAnsi="Century Gothic" w:cs="Century Gothic"/>
          <w:lang w:val="pl-PL"/>
        </w:rPr>
        <w:t xml:space="preserve"> brak wiary w powodzenie aplikacji grantowych deklaruje 59% badaczek, w porównaniu do 37% badaczy</w:t>
      </w:r>
      <w:r w:rsidR="0003629D">
        <w:rPr>
          <w:rStyle w:val="Odwoanieprzypisudolnego"/>
          <w:rFonts w:ascii="Century Gothic" w:hAnsi="Century Gothic"/>
        </w:rPr>
        <w:footnoteReference w:id="4"/>
      </w:r>
      <w:r w:rsidR="00983D7E" w:rsidRPr="00983D7E">
        <w:rPr>
          <w:rFonts w:ascii="Century Gothic" w:eastAsia="Century Gothic" w:hAnsi="Century Gothic" w:cs="Century Gothic"/>
          <w:lang w:val="pl-PL"/>
        </w:rPr>
        <w:t>.</w:t>
      </w:r>
    </w:p>
    <w:p w14:paraId="5065E4C6" w14:textId="77777777" w:rsidR="00827A22" w:rsidRDefault="00827A22" w:rsidP="00945EA6">
      <w:pPr>
        <w:spacing w:before="240" w:after="240"/>
        <w:jc w:val="both"/>
        <w:rPr>
          <w:rFonts w:ascii="Century Gothic" w:eastAsia="Century Gothic" w:hAnsi="Century Gothic" w:cs="Century Gothic"/>
          <w:b/>
          <w:bCs/>
          <w:color w:val="000000"/>
        </w:rPr>
      </w:pPr>
    </w:p>
    <w:p w14:paraId="3E69AF58" w14:textId="77777777" w:rsidR="00827A22" w:rsidRDefault="00827A22" w:rsidP="00945EA6">
      <w:pPr>
        <w:spacing w:before="240" w:after="240"/>
        <w:jc w:val="both"/>
        <w:rPr>
          <w:rFonts w:ascii="Century Gothic" w:eastAsia="Century Gothic" w:hAnsi="Century Gothic" w:cs="Century Gothic"/>
          <w:b/>
          <w:bCs/>
          <w:color w:val="000000"/>
        </w:rPr>
      </w:pPr>
    </w:p>
    <w:p w14:paraId="3C796F81" w14:textId="77788C52" w:rsidR="00827A22" w:rsidRDefault="00827A22" w:rsidP="00945EA6">
      <w:pPr>
        <w:spacing w:before="240" w:after="240"/>
        <w:jc w:val="both"/>
        <w:rPr>
          <w:rFonts w:ascii="Century Gothic" w:eastAsia="Century Gothic" w:hAnsi="Century Gothic" w:cs="Century Gothic"/>
          <w:b/>
          <w:bCs/>
          <w:color w:val="000000"/>
        </w:rPr>
      </w:pPr>
      <w:r w:rsidRPr="00827A22">
        <w:rPr>
          <w:rFonts w:ascii="Century Gothic" w:eastAsia="Century Gothic" w:hAnsi="Century Gothic" w:cs="Century Gothic"/>
          <w:b/>
          <w:bCs/>
          <w:color w:val="000000"/>
        </w:rPr>
        <w:t>Autoprezentacja, samoocena i niewidzialne bariery w karierze naukowej kobiet</w:t>
      </w:r>
    </w:p>
    <w:p w14:paraId="5BC60593" w14:textId="48CF0DA1" w:rsidR="00945EA6" w:rsidRDefault="00945EA6" w:rsidP="00945EA6">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Raport zwraca uwagę także </w:t>
      </w:r>
      <w:r w:rsidR="00827A22">
        <w:rPr>
          <w:rFonts w:ascii="Century Gothic" w:eastAsia="Century Gothic" w:hAnsi="Century Gothic" w:cs="Century Gothic"/>
        </w:rPr>
        <w:t>na</w:t>
      </w:r>
      <w:r w:rsidRPr="00945EA6">
        <w:rPr>
          <w:rFonts w:ascii="Century Gothic" w:eastAsia="Century Gothic" w:hAnsi="Century Gothic" w:cs="Century Gothic"/>
        </w:rPr>
        <w:t xml:space="preserve"> istotne różnice w sposobie, w jaki </w:t>
      </w:r>
      <w:proofErr w:type="spellStart"/>
      <w:r w:rsidRPr="00945EA6">
        <w:rPr>
          <w:rFonts w:ascii="Century Gothic" w:eastAsia="Century Gothic" w:hAnsi="Century Gothic" w:cs="Century Gothic"/>
        </w:rPr>
        <w:t>naukowczynie</w:t>
      </w:r>
      <w:proofErr w:type="spellEnd"/>
      <w:r w:rsidRPr="00945EA6">
        <w:rPr>
          <w:rFonts w:ascii="Century Gothic" w:eastAsia="Century Gothic" w:hAnsi="Century Gothic" w:cs="Century Gothic"/>
        </w:rPr>
        <w:t xml:space="preserve"> prezentują swoje osiągnięcia. Kobiety rzadziej niż mężczyźni cytują własne publikacje </w:t>
      </w:r>
      <w:r w:rsidR="00945FB0">
        <w:rPr>
          <w:rFonts w:ascii="Century Gothic" w:eastAsia="Century Gothic" w:hAnsi="Century Gothic" w:cs="Century Gothic"/>
        </w:rPr>
        <w:t>–</w:t>
      </w:r>
      <w:r w:rsidRPr="00945EA6">
        <w:rPr>
          <w:rFonts w:ascii="Century Gothic" w:eastAsia="Century Gothic" w:hAnsi="Century Gothic" w:cs="Century Gothic"/>
        </w:rPr>
        <w:t xml:space="preserve"> aż o 37% mniej (</w:t>
      </w:r>
      <w:proofErr w:type="spellStart"/>
      <w:r w:rsidRPr="00945EA6">
        <w:rPr>
          <w:rFonts w:ascii="Century Gothic" w:eastAsia="Century Gothic" w:hAnsi="Century Gothic" w:cs="Century Gothic"/>
        </w:rPr>
        <w:t>Ghiasi</w:t>
      </w:r>
      <w:proofErr w:type="spellEnd"/>
      <w:r w:rsidRPr="00945EA6">
        <w:rPr>
          <w:rFonts w:ascii="Century Gothic" w:eastAsia="Century Gothic" w:hAnsi="Century Gothic" w:cs="Century Gothic"/>
        </w:rPr>
        <w:t xml:space="preserve"> et al., 2016)</w:t>
      </w:r>
      <w:r>
        <w:rPr>
          <w:rStyle w:val="Odwoanieprzypisudolnego"/>
          <w:rFonts w:ascii="Century Gothic" w:hAnsi="Century Gothic"/>
        </w:rPr>
        <w:footnoteReference w:id="5"/>
      </w:r>
      <w:r w:rsidRPr="00945EA6">
        <w:rPr>
          <w:rFonts w:ascii="Century Gothic" w:eastAsia="Century Gothic" w:hAnsi="Century Gothic" w:cs="Century Gothic"/>
        </w:rPr>
        <w:t xml:space="preserve">, używają o 12% </w:t>
      </w:r>
      <w:r w:rsidRPr="00945EA6">
        <w:rPr>
          <w:rFonts w:ascii="Century Gothic" w:eastAsia="Century Gothic" w:hAnsi="Century Gothic" w:cs="Century Gothic"/>
        </w:rPr>
        <w:lastRenderedPageBreak/>
        <w:t>mniej pozytywnych określeń w opisach swoich badań (</w:t>
      </w:r>
      <w:proofErr w:type="spellStart"/>
      <w:r w:rsidRPr="00945EA6">
        <w:rPr>
          <w:rFonts w:ascii="Century Gothic" w:eastAsia="Century Gothic" w:hAnsi="Century Gothic" w:cs="Century Gothic"/>
        </w:rPr>
        <w:t>Lerchenmueller</w:t>
      </w:r>
      <w:proofErr w:type="spellEnd"/>
      <w:r w:rsidRPr="00945EA6">
        <w:rPr>
          <w:rFonts w:ascii="Century Gothic" w:eastAsia="Century Gothic" w:hAnsi="Century Gothic" w:cs="Century Gothic"/>
        </w:rPr>
        <w:t xml:space="preserve"> et al., 2019) i rzadziej dzielą się swoimi pracami w mediach społecznościowych, takich jak Twitter</w:t>
      </w:r>
      <w:r>
        <w:rPr>
          <w:rStyle w:val="Odwoanieprzypisudolnego"/>
          <w:rFonts w:ascii="Century Gothic" w:hAnsi="Century Gothic"/>
        </w:rPr>
        <w:footnoteReference w:id="6"/>
      </w:r>
      <w:r w:rsidRPr="00945EA6">
        <w:rPr>
          <w:rFonts w:ascii="Century Gothic" w:eastAsia="Century Gothic" w:hAnsi="Century Gothic" w:cs="Century Gothic"/>
        </w:rPr>
        <w:t xml:space="preserve">. </w:t>
      </w:r>
    </w:p>
    <w:p w14:paraId="7DE0CD12" w14:textId="002B7BBB" w:rsidR="00DF1618" w:rsidRDefault="00B23BED" w:rsidP="00945EA6">
      <w:pPr>
        <w:spacing w:before="240" w:after="240"/>
        <w:jc w:val="both"/>
        <w:rPr>
          <w:rFonts w:ascii="Century Gothic" w:eastAsia="Century Gothic" w:hAnsi="Century Gothic" w:cs="Century Gothic"/>
        </w:rPr>
      </w:pPr>
      <w:r>
        <w:rPr>
          <w:rFonts w:ascii="Century Gothic" w:eastAsia="Century Gothic" w:hAnsi="Century Gothic" w:cs="Century Gothic"/>
          <w:b/>
          <w:bCs/>
          <w:noProof/>
        </w:rPr>
        <w:drawing>
          <wp:anchor distT="0" distB="0" distL="114300" distR="114300" simplePos="0" relativeHeight="251658240" behindDoc="1" locked="0" layoutInCell="1" allowOverlap="1" wp14:anchorId="199676BD" wp14:editId="230F6C53">
            <wp:simplePos x="0" y="0"/>
            <wp:positionH relativeFrom="margin">
              <wp:posOffset>-635</wp:posOffset>
            </wp:positionH>
            <wp:positionV relativeFrom="paragraph">
              <wp:posOffset>43180</wp:posOffset>
            </wp:positionV>
            <wp:extent cx="2468880" cy="1584960"/>
            <wp:effectExtent l="0" t="0" r="7620" b="0"/>
            <wp:wrapTight wrapText="bothSides">
              <wp:wrapPolygon edited="0">
                <wp:start x="0" y="0"/>
                <wp:lineTo x="0" y="21288"/>
                <wp:lineTo x="21500" y="21288"/>
                <wp:lineTo x="21500" y="0"/>
                <wp:lineTo x="0" y="0"/>
              </wp:wrapPolygon>
            </wp:wrapTight>
            <wp:docPr id="1671357862" name="image5.png" descr="Obraz zawierający tekst, zrzut ekranu, Czcionka, logo&#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1671357862" name="image5.png" descr="Obraz zawierający tekst, zrzut ekranu, Czcionka, logo&#10;&#10;Zawartość wygenerowana przez AI może być niepoprawna."/>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468880" cy="1584960"/>
                    </a:xfrm>
                    <a:prstGeom prst="rect">
                      <a:avLst/>
                    </a:prstGeom>
                    <a:ln/>
                  </pic:spPr>
                </pic:pic>
              </a:graphicData>
            </a:graphic>
            <wp14:sizeRelH relativeFrom="margin">
              <wp14:pctWidth>0</wp14:pctWidth>
            </wp14:sizeRelH>
            <wp14:sizeRelV relativeFrom="margin">
              <wp14:pctHeight>0</wp14:pctHeight>
            </wp14:sizeRelV>
          </wp:anchor>
        </w:drawing>
      </w:r>
      <w:r w:rsidR="00945EA6" w:rsidRPr="00945EA6">
        <w:rPr>
          <w:rFonts w:ascii="Century Gothic" w:eastAsia="Century Gothic" w:hAnsi="Century Gothic" w:cs="Century Gothic"/>
        </w:rPr>
        <w:t xml:space="preserve">Wyniki badania wskazują także wyraźne różnice między płciami w ocenie własnych szans na sukces grantowy. Kobiety częściej niż mężczyźni uznają swój dorobek naukowy i potencjał do pozyskania finansowania za niewystarczający. </w:t>
      </w:r>
    </w:p>
    <w:p w14:paraId="710154FA" w14:textId="77777777" w:rsidR="00DF1618" w:rsidRDefault="00DF1618" w:rsidP="00945EA6">
      <w:pPr>
        <w:spacing w:before="240" w:after="240"/>
        <w:jc w:val="both"/>
        <w:rPr>
          <w:rFonts w:ascii="Century Gothic" w:eastAsia="Century Gothic" w:hAnsi="Century Gothic" w:cs="Century Gothic"/>
        </w:rPr>
      </w:pPr>
    </w:p>
    <w:p w14:paraId="1F55A611" w14:textId="12A05773" w:rsidR="00945EA6" w:rsidRDefault="00945EA6" w:rsidP="00945EA6">
      <w:pPr>
        <w:spacing w:before="240" w:after="240"/>
        <w:jc w:val="both"/>
        <w:rPr>
          <w:rFonts w:ascii="Century Gothic" w:eastAsia="Century Gothic" w:hAnsi="Century Gothic" w:cs="Century Gothic"/>
        </w:rPr>
      </w:pPr>
      <w:r w:rsidRPr="00945EA6">
        <w:rPr>
          <w:rFonts w:ascii="Century Gothic" w:eastAsia="Century Gothic" w:hAnsi="Century Gothic" w:cs="Century Gothic"/>
        </w:rPr>
        <w:t>Chociaż zainteresowanie kierowaniem projektami badawczymi jest podobne w obu grupach (65% kobiet wobec 67% mężczyzn), to mężczyźni częściej posiadają w tym zakresie rzeczywiste doświadczenie. Kobiety rzadziej decydują się na objęcie roli kierownika/</w:t>
      </w:r>
      <w:proofErr w:type="spellStart"/>
      <w:r w:rsidRPr="00945EA6">
        <w:rPr>
          <w:rFonts w:ascii="Century Gothic" w:eastAsia="Century Gothic" w:hAnsi="Century Gothic" w:cs="Century Gothic"/>
        </w:rPr>
        <w:t>czki</w:t>
      </w:r>
      <w:proofErr w:type="spellEnd"/>
      <w:r w:rsidRPr="00945EA6">
        <w:rPr>
          <w:rFonts w:ascii="Century Gothic" w:eastAsia="Century Gothic" w:hAnsi="Century Gothic" w:cs="Century Gothic"/>
        </w:rPr>
        <w:t xml:space="preserve"> projektów, głównie ze względu na niższą samoocenę i większe obciążenie obowiązkami rodzinnymi, podczas gdy mężczyźni częściej rezygnują z tej funkcji z powodu nadmiernych obowiązków administracyjnych. Wśród czynników zniechęcających do ubiegania się o granty, badaczki najczęściej wymieniają brak wiary w sukces (59% w porównaniu do 37% mężczyzn) oraz niską ocenę własnego dorobku naukowego (43% wobec 26%).</w:t>
      </w:r>
    </w:p>
    <w:p w14:paraId="3B91BFBC" w14:textId="30CE135E" w:rsidR="00945EA6" w:rsidRDefault="00945EA6" w:rsidP="00DF1618">
      <w:pPr>
        <w:spacing w:before="240" w:after="240"/>
        <w:jc w:val="both"/>
        <w:rPr>
          <w:rFonts w:ascii="Century Gothic" w:eastAsia="Century Gothic" w:hAnsi="Century Gothic" w:cs="Century Gothic"/>
        </w:rPr>
      </w:pPr>
      <w:r w:rsidRPr="00945EA6">
        <w:rPr>
          <w:rFonts w:ascii="Century Gothic" w:eastAsia="Century Gothic" w:hAnsi="Century Gothic" w:cs="Century Gothic"/>
        </w:rPr>
        <w:t>Różnice w autoprezentacji i samoocenie przekładają się na realne</w:t>
      </w:r>
      <w:r>
        <w:rPr>
          <w:rFonts w:ascii="Century Gothic" w:eastAsia="Century Gothic" w:hAnsi="Century Gothic" w:cs="Century Gothic"/>
        </w:rPr>
        <w:t xml:space="preserve"> </w:t>
      </w:r>
      <w:r w:rsidRPr="00945EA6">
        <w:rPr>
          <w:rFonts w:ascii="Century Gothic" w:eastAsia="Century Gothic" w:hAnsi="Century Gothic" w:cs="Century Gothic"/>
        </w:rPr>
        <w:t>ograniczenia w widoczności dorobku naukowego, dostępie do kierowniczych funkcji w projektach oraz szansach na finansowanie i uznanie w środowisku akademickim.</w:t>
      </w:r>
    </w:p>
    <w:p w14:paraId="37C3CE38" w14:textId="77777777" w:rsidR="009D14D6" w:rsidRDefault="00945EA6">
      <w:pPr>
        <w:jc w:val="both"/>
        <w:rPr>
          <w:rFonts w:ascii="Century Gothic" w:eastAsia="Century Gothic" w:hAnsi="Century Gothic" w:cs="Century Gothic"/>
        </w:rPr>
      </w:pPr>
      <w:r>
        <w:rPr>
          <w:rFonts w:ascii="Century Gothic" w:eastAsia="Century Gothic" w:hAnsi="Century Gothic" w:cs="Century Gothic"/>
          <w:i/>
          <w:iCs/>
        </w:rPr>
        <w:t>Musimy nie tylko wspierać kobiety na ścieżce naukowej, ale też działać na rzecz zmiany systemowej w zakresie równości płci. W przeciwnym razie tracimy ogromny potencjał intelektualny, który mógłby przysłużyć się całemu społeczeństwu</w:t>
      </w:r>
      <w:r>
        <w:rPr>
          <w:rFonts w:ascii="Century Gothic" w:eastAsia="Century Gothic" w:hAnsi="Century Gothic" w:cs="Century Gothic"/>
          <w:i/>
          <w:iCs/>
          <w:vertAlign w:val="superscript"/>
        </w:rPr>
        <w:footnoteReference w:id="7"/>
      </w:r>
      <w:r>
        <w:rPr>
          <w:rFonts w:ascii="Century Gothic" w:eastAsia="Century Gothic" w:hAnsi="Century Gothic" w:cs="Century Gothic"/>
        </w:rPr>
        <w:t xml:space="preserve"> – </w:t>
      </w:r>
      <w:r w:rsidR="00DF1618">
        <w:rPr>
          <w:rFonts w:ascii="Century Gothic" w:eastAsia="Century Gothic" w:hAnsi="Century Gothic" w:cs="Century Gothic"/>
        </w:rPr>
        <w:t>komentowała</w:t>
      </w:r>
      <w:r>
        <w:rPr>
          <w:rFonts w:ascii="Century Gothic" w:eastAsia="Century Gothic" w:hAnsi="Century Gothic" w:cs="Century Gothic"/>
        </w:rPr>
        <w:t xml:space="preserve"> prof. </w:t>
      </w:r>
      <w:r w:rsidR="00827A22">
        <w:rPr>
          <w:rFonts w:ascii="Century Gothic" w:eastAsia="Century Gothic" w:hAnsi="Century Gothic" w:cs="Century Gothic"/>
        </w:rPr>
        <w:t xml:space="preserve">dr hab. </w:t>
      </w:r>
      <w:r>
        <w:rPr>
          <w:rFonts w:ascii="Century Gothic" w:eastAsia="Century Gothic" w:hAnsi="Century Gothic" w:cs="Century Gothic"/>
        </w:rPr>
        <w:t>Ewa Łojkowska, przewodnicząca jury programu L’Oréal-UNESCO Dla Kobiet i Nauki.</w:t>
      </w:r>
      <w:bookmarkStart w:id="1" w:name="_heading=h.r6uk6zej5m5g" w:colFirst="0" w:colLast="0"/>
      <w:bookmarkEnd w:id="1"/>
    </w:p>
    <w:p w14:paraId="23C0B604" w14:textId="6A545F5B" w:rsidR="009D14D6" w:rsidRDefault="009D14D6">
      <w:pPr>
        <w:jc w:val="both"/>
        <w:rPr>
          <w:rFonts w:ascii="Century Gothic" w:eastAsia="Century Gothic" w:hAnsi="Century Gothic" w:cs="Century Gothic"/>
        </w:rPr>
      </w:pPr>
      <w:r w:rsidRPr="009D14D6">
        <w:rPr>
          <w:rFonts w:ascii="Century Gothic" w:eastAsia="Century Gothic" w:hAnsi="Century Gothic" w:cs="Century Gothic"/>
          <w:i/>
          <w:iCs/>
        </w:rPr>
        <w:t xml:space="preserve">Różnice w autoprezentacji i samoocenie nie są kwestią indywidualnych wyborów, lecz efektem funkcjonowania w systemie, który przez lata premiował </w:t>
      </w:r>
      <w:r w:rsidRPr="009D14D6">
        <w:rPr>
          <w:rFonts w:ascii="Century Gothic" w:eastAsia="Century Gothic" w:hAnsi="Century Gothic" w:cs="Century Gothic"/>
          <w:i/>
          <w:iCs/>
        </w:rPr>
        <w:lastRenderedPageBreak/>
        <w:t>określone style komunikowania osiągnięć. Jeśli nie zaczniemy ich uwzględniać w ocenie dorobku naukowego, będziemy nadal reprodukować nierówności, zamiast je niwelować</w:t>
      </w:r>
      <w:r w:rsidRPr="009D14D6">
        <w:rPr>
          <w:rFonts w:ascii="Century Gothic" w:eastAsia="Century Gothic" w:hAnsi="Century Gothic" w:cs="Century Gothic"/>
        </w:rPr>
        <w:t xml:space="preserve"> – mówi dr hab. Magdalena Żadkowska, współautorka raportu.</w:t>
      </w:r>
    </w:p>
    <w:p w14:paraId="6F4CA074" w14:textId="6DCB1A66" w:rsidR="006C3684" w:rsidRDefault="00F32F96">
      <w:pPr>
        <w:jc w:val="both"/>
        <w:rPr>
          <w:rFonts w:ascii="Century Gothic" w:eastAsia="Century Gothic" w:hAnsi="Century Gothic" w:cs="Century Gothic"/>
        </w:rPr>
      </w:pPr>
      <w:r>
        <w:rPr>
          <w:rFonts w:ascii="Century Gothic" w:eastAsia="Century Gothic" w:hAnsi="Century Gothic" w:cs="Century Gothic"/>
        </w:rPr>
        <w:t xml:space="preserve">Wnioski z raportu </w:t>
      </w:r>
      <w:r w:rsidR="001D7CF4">
        <w:rPr>
          <w:rFonts w:ascii="Century Gothic" w:eastAsia="Century Gothic" w:hAnsi="Century Gothic" w:cs="Century Gothic"/>
        </w:rPr>
        <w:t xml:space="preserve">jednoznacznie wskazują </w:t>
      </w:r>
      <w:r>
        <w:rPr>
          <w:rFonts w:ascii="Century Gothic" w:eastAsia="Century Gothic" w:hAnsi="Century Gothic" w:cs="Century Gothic"/>
        </w:rPr>
        <w:t>, że pełne wykorzystanie potencjału kobiet w nauce wymaga nie tylko indywidualnego wsparcia, lecz przede wszystkim trwałych zmian systemowych, które zapewnią równe warunki rozwoju i widoczność dorobku naukowego.</w:t>
      </w:r>
    </w:p>
    <w:p w14:paraId="69B483C4" w14:textId="45FBCD9C" w:rsidR="006C3684" w:rsidRDefault="00D93A69">
      <w:pPr>
        <w:pStyle w:val="Nagwek3"/>
        <w:keepNext w:val="0"/>
        <w:keepLines w:val="0"/>
        <w:spacing w:before="280"/>
        <w:jc w:val="both"/>
        <w:rPr>
          <w:rFonts w:ascii="Century Gothic" w:eastAsia="Century Gothic" w:hAnsi="Century Gothic" w:cs="Century Gothic"/>
          <w:b/>
          <w:bCs/>
          <w:color w:val="000000"/>
          <w:sz w:val="24"/>
          <w:szCs w:val="24"/>
        </w:rPr>
      </w:pPr>
      <w:bookmarkStart w:id="2" w:name="_heading=h.sw4g0xtsrzxc" w:colFirst="0" w:colLast="0"/>
      <w:bookmarkEnd w:id="2"/>
      <w:r>
        <w:rPr>
          <w:rFonts w:ascii="Century Gothic" w:eastAsia="Century Gothic" w:hAnsi="Century Gothic" w:cs="Century Gothic"/>
          <w:b/>
          <w:bCs/>
          <w:color w:val="000000"/>
          <w:sz w:val="24"/>
          <w:szCs w:val="24"/>
        </w:rPr>
        <w:t xml:space="preserve">Zgłoś się do programu </w:t>
      </w:r>
      <w:r w:rsidRPr="00D93A69">
        <w:rPr>
          <w:rFonts w:ascii="Century Gothic" w:eastAsia="Century Gothic" w:hAnsi="Century Gothic" w:cs="Century Gothic"/>
          <w:b/>
          <w:bCs/>
          <w:color w:val="000000"/>
          <w:sz w:val="24"/>
          <w:szCs w:val="24"/>
        </w:rPr>
        <w:t>L’Oréal-UNESCO Dla Kobiet i Nauki. Niech Twoje odkrycia kształtują przyszłość!</w:t>
      </w:r>
    </w:p>
    <w:p w14:paraId="7A4A0843" w14:textId="45BF6CD0" w:rsidR="00D93A69" w:rsidRDefault="00D93A69" w:rsidP="00D93A69">
      <w:pPr>
        <w:jc w:val="both"/>
        <w:rPr>
          <w:rFonts w:ascii="Century Gothic" w:eastAsia="Century Gothic" w:hAnsi="Century Gothic" w:cs="Century Gothic"/>
        </w:rPr>
      </w:pPr>
      <w:r w:rsidRPr="00D93A69">
        <w:rPr>
          <w:rFonts w:ascii="Century Gothic" w:eastAsia="Century Gothic" w:hAnsi="Century Gothic" w:cs="Century Gothic"/>
        </w:rPr>
        <w:t>W świetle przedstawionych wyzwań inicjatywy wspierające kobiety w nauce stają się szczególnie istotne. Jedn</w:t>
      </w:r>
      <w:r>
        <w:rPr>
          <w:rFonts w:ascii="Century Gothic" w:eastAsia="Century Gothic" w:hAnsi="Century Gothic" w:cs="Century Gothic"/>
        </w:rPr>
        <w:t>ą</w:t>
      </w:r>
      <w:r w:rsidRPr="00D93A69">
        <w:rPr>
          <w:rFonts w:ascii="Century Gothic" w:eastAsia="Century Gothic" w:hAnsi="Century Gothic" w:cs="Century Gothic"/>
        </w:rPr>
        <w:t xml:space="preserve"> z nich jest program L’Oréal-UNESCO Dla Kobiet i Nauki. Celem programu L’Oréal-UNESCO Dla Kobiet i Nauki jest promowanie osiągnięć naukowych utalentowanych badaczek, zachęcanie ich do kontynuacji prac, zmierzających do rozwoju nauki oraz udzielenie wsparcia finansowego.</w:t>
      </w:r>
      <w:r>
        <w:rPr>
          <w:rFonts w:ascii="Century Gothic" w:eastAsia="Century Gothic" w:hAnsi="Century Gothic" w:cs="Century Gothic"/>
        </w:rPr>
        <w:t xml:space="preserve"> </w:t>
      </w:r>
    </w:p>
    <w:p w14:paraId="2D9AB5AF" w14:textId="5C8CBE17" w:rsidR="00D93A69" w:rsidRDefault="00D93A69" w:rsidP="00D93A69">
      <w:pPr>
        <w:jc w:val="both"/>
        <w:rPr>
          <w:rFonts w:ascii="Century Gothic" w:eastAsia="Century Gothic" w:hAnsi="Century Gothic" w:cs="Century Gothic"/>
        </w:rPr>
      </w:pPr>
      <w:r>
        <w:rPr>
          <w:rFonts w:ascii="Century Gothic" w:eastAsia="Century Gothic" w:hAnsi="Century Gothic" w:cs="Century Gothic"/>
        </w:rPr>
        <w:t xml:space="preserve">Nabór do tegorocznej edycji trwa do 12 marca, więcej informacji na stronie: </w:t>
      </w:r>
      <w:hyperlink r:id="rId14" w:history="1">
        <w:r w:rsidRPr="00EC230B">
          <w:rPr>
            <w:rStyle w:val="Hipercze"/>
            <w:rFonts w:ascii="Century Gothic" w:eastAsia="Century Gothic" w:hAnsi="Century Gothic" w:cs="Century Gothic"/>
          </w:rPr>
          <w:t>https://www.lorealdlakobietinauki.pl/dla-kandydatek/</w:t>
        </w:r>
      </w:hyperlink>
    </w:p>
    <w:p w14:paraId="46275E95" w14:textId="77777777" w:rsidR="00D93A69" w:rsidRPr="00D93A69" w:rsidRDefault="00D93A69" w:rsidP="00D93A69">
      <w:pPr>
        <w:jc w:val="both"/>
        <w:rPr>
          <w:rFonts w:ascii="Century Gothic" w:eastAsia="Century Gothic" w:hAnsi="Century Gothic" w:cs="Century Gothic"/>
        </w:rPr>
      </w:pPr>
    </w:p>
    <w:p w14:paraId="025CB3D6" w14:textId="77777777" w:rsidR="00D93A69" w:rsidRDefault="00D93A69">
      <w:pPr>
        <w:jc w:val="both"/>
        <w:rPr>
          <w:rFonts w:ascii="Century Gothic" w:eastAsia="Century Gothic" w:hAnsi="Century Gothic" w:cs="Century Gothic"/>
        </w:rPr>
      </w:pPr>
      <w:r>
        <w:rPr>
          <w:rFonts w:ascii="Century Gothic" w:eastAsia="Century Gothic" w:hAnsi="Century Gothic" w:cs="Century Gothic"/>
        </w:rPr>
        <w:t>R</w:t>
      </w:r>
      <w:r w:rsidR="00F32F96">
        <w:rPr>
          <w:rFonts w:ascii="Century Gothic" w:eastAsia="Century Gothic" w:hAnsi="Century Gothic" w:cs="Century Gothic"/>
        </w:rPr>
        <w:t>aport dostępny w wersji online na stronie</w:t>
      </w:r>
    </w:p>
    <w:p w14:paraId="3FB177A2" w14:textId="307C70C7" w:rsidR="006C3684" w:rsidRDefault="00D93A69">
      <w:pPr>
        <w:jc w:val="both"/>
        <w:rPr>
          <w:rFonts w:ascii="Century Gothic" w:eastAsia="Century Gothic" w:hAnsi="Century Gothic" w:cs="Century Gothic"/>
        </w:rPr>
      </w:pPr>
      <w:hyperlink r:id="rId15" w:history="1">
        <w:r w:rsidRPr="00D93A69">
          <w:rPr>
            <w:rStyle w:val="Hipercze"/>
            <w:rFonts w:ascii="Century Gothic" w:eastAsia="Century Gothic" w:hAnsi="Century Gothic" w:cs="Century Gothic"/>
          </w:rPr>
          <w:t>https://www.lorealdlakobietinauki.pl/raport-25-lat-dla-kobiet-w-nauce-efekt-nagrody/</w:t>
        </w:r>
      </w:hyperlink>
      <w:r w:rsidR="00F32F96">
        <w:rPr>
          <w:rFonts w:ascii="Century Gothic" w:eastAsia="Century Gothic" w:hAnsi="Century Gothic" w:cs="Century Gothic"/>
        </w:rPr>
        <w:br/>
      </w:r>
    </w:p>
    <w:p w14:paraId="115C00AD" w14:textId="77777777" w:rsidR="00D93A69" w:rsidRDefault="00F32F96" w:rsidP="00D93A69">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25D9E670" w14:textId="06414761" w:rsidR="006C3684" w:rsidRPr="00D93A69" w:rsidRDefault="00F32F96" w:rsidP="00D93A69">
      <w:pPr>
        <w:rPr>
          <w:rFonts w:ascii="Century Gothic" w:eastAsia="Century Gothic" w:hAnsi="Century Gothic" w:cs="Century Gothic"/>
          <w:sz w:val="22"/>
          <w:szCs w:val="22"/>
        </w:rPr>
      </w:pPr>
      <w:r w:rsidRPr="00D93A69">
        <w:rPr>
          <w:rFonts w:ascii="Century Gothic" w:eastAsia="Century Gothic" w:hAnsi="Century Gothic" w:cs="Century Gothic"/>
          <w:b/>
          <w:bCs/>
          <w:sz w:val="20"/>
          <w:szCs w:val="20"/>
        </w:rPr>
        <w:t>Autorki badania</w:t>
      </w:r>
    </w:p>
    <w:p w14:paraId="336A0B97" w14:textId="77777777" w:rsidR="006C3684" w:rsidRPr="00D93A69" w:rsidRDefault="00F32F96">
      <w:pPr>
        <w:jc w:val="both"/>
        <w:rPr>
          <w:rFonts w:ascii="Century Gothic" w:eastAsia="Century Gothic" w:hAnsi="Century Gothic" w:cs="Century Gothic"/>
          <w:sz w:val="20"/>
          <w:szCs w:val="20"/>
        </w:rPr>
      </w:pPr>
      <w:r w:rsidRPr="00D93A69">
        <w:rPr>
          <w:rFonts w:ascii="Century Gothic" w:eastAsia="Century Gothic" w:hAnsi="Century Gothic" w:cs="Century Gothic"/>
          <w:b/>
          <w:bCs/>
          <w:sz w:val="20"/>
          <w:szCs w:val="20"/>
        </w:rPr>
        <w:t>Profesora doktora habilitowana Natasza Kosakowska-Berezecka</w:t>
      </w:r>
      <w:r w:rsidRPr="00D93A69">
        <w:rPr>
          <w:rFonts w:ascii="Century Gothic" w:eastAsia="Century Gothic" w:hAnsi="Century Gothic" w:cs="Century Gothic"/>
          <w:sz w:val="20"/>
          <w:szCs w:val="20"/>
        </w:rPr>
        <w:t xml:space="preserve">, kierowniczka Zakładu Psychologii Międzykulturowej i Rodzaju w Instytucie Psychologii Uniwersytetu Gdańskiego. Naukowo zajmuje się procesami przeciwdziałającymi uprzedzeniom i dyskryminacji. Kierowniczka międzynarodowego konsorcjum badawczego </w:t>
      </w:r>
      <w:proofErr w:type="spellStart"/>
      <w:r w:rsidRPr="00D93A69">
        <w:rPr>
          <w:rFonts w:ascii="Century Gothic" w:eastAsia="Century Gothic" w:hAnsi="Century Gothic" w:cs="Century Gothic"/>
          <w:sz w:val="20"/>
          <w:szCs w:val="20"/>
        </w:rPr>
        <w:t>Towards</w:t>
      </w:r>
      <w:proofErr w:type="spellEnd"/>
      <w:r w:rsidRPr="00D93A69">
        <w:rPr>
          <w:rFonts w:ascii="Century Gothic" w:eastAsia="Century Gothic" w:hAnsi="Century Gothic" w:cs="Century Gothic"/>
          <w:sz w:val="20"/>
          <w:szCs w:val="20"/>
        </w:rPr>
        <w:t xml:space="preserve"> </w:t>
      </w:r>
      <w:proofErr w:type="spellStart"/>
      <w:r w:rsidRPr="00D93A69">
        <w:rPr>
          <w:rFonts w:ascii="Century Gothic" w:eastAsia="Century Gothic" w:hAnsi="Century Gothic" w:cs="Century Gothic"/>
          <w:sz w:val="20"/>
          <w:szCs w:val="20"/>
        </w:rPr>
        <w:t>Gender</w:t>
      </w:r>
      <w:proofErr w:type="spellEnd"/>
      <w:r w:rsidRPr="00D93A69">
        <w:rPr>
          <w:rFonts w:ascii="Century Gothic" w:eastAsia="Century Gothic" w:hAnsi="Century Gothic" w:cs="Century Gothic"/>
          <w:sz w:val="20"/>
          <w:szCs w:val="20"/>
        </w:rPr>
        <w:t xml:space="preserve"> </w:t>
      </w:r>
      <w:proofErr w:type="spellStart"/>
      <w:r w:rsidRPr="00D93A69">
        <w:rPr>
          <w:rFonts w:ascii="Century Gothic" w:eastAsia="Century Gothic" w:hAnsi="Century Gothic" w:cs="Century Gothic"/>
          <w:sz w:val="20"/>
          <w:szCs w:val="20"/>
        </w:rPr>
        <w:t>Harmony</w:t>
      </w:r>
      <w:proofErr w:type="spellEnd"/>
      <w:r w:rsidRPr="00D93A69">
        <w:rPr>
          <w:rFonts w:ascii="Century Gothic" w:eastAsia="Century Gothic" w:hAnsi="Century Gothic" w:cs="Century Gothic"/>
          <w:sz w:val="20"/>
          <w:szCs w:val="20"/>
        </w:rPr>
        <w:t xml:space="preserve"> gdzie wspólnie z 150-osobowym zespołem z całego świata bada współczesne stereotypy płci w ponad 60 krajach.</w:t>
      </w:r>
    </w:p>
    <w:p w14:paraId="064B5C7A" w14:textId="77777777" w:rsidR="006C3684" w:rsidRPr="00D93A69" w:rsidRDefault="00F32F96">
      <w:pPr>
        <w:jc w:val="both"/>
        <w:rPr>
          <w:rFonts w:ascii="Century Gothic" w:eastAsia="Century Gothic" w:hAnsi="Century Gothic" w:cs="Century Gothic"/>
          <w:sz w:val="20"/>
          <w:szCs w:val="20"/>
        </w:rPr>
      </w:pPr>
      <w:r w:rsidRPr="00D93A69">
        <w:rPr>
          <w:rFonts w:ascii="Century Gothic" w:eastAsia="Century Gothic" w:hAnsi="Century Gothic" w:cs="Century Gothic"/>
          <w:b/>
          <w:bCs/>
          <w:sz w:val="20"/>
          <w:szCs w:val="20"/>
        </w:rPr>
        <w:t>Doktora habilitowana Magdalena Żadkowska</w:t>
      </w:r>
      <w:r w:rsidRPr="00D93A69">
        <w:rPr>
          <w:rFonts w:ascii="Century Gothic" w:eastAsia="Century Gothic" w:hAnsi="Century Gothic" w:cs="Century Gothic"/>
          <w:sz w:val="20"/>
          <w:szCs w:val="20"/>
        </w:rPr>
        <w:t>, profesora Uniwersytetu Gdańskiego, międzynarodowa ekspertka wdrażania rozwiązań równościowych w instytucjach akademickich, kierowniczka międzynarodowych projektów badawczych badających pary w różnych momentach turbulencji – zajmuje się codziennością życia rodzinnego w obliczu zmian związanych z między innymi z podziałem obowiązków domowych, rynkiem pracy i rodzicielstwem.</w:t>
      </w:r>
    </w:p>
    <w:p w14:paraId="142765C7" w14:textId="77777777" w:rsidR="006C3684" w:rsidRPr="00D93A69" w:rsidRDefault="00F32F96">
      <w:pPr>
        <w:jc w:val="both"/>
        <w:rPr>
          <w:rFonts w:ascii="Century Gothic" w:eastAsia="Century Gothic" w:hAnsi="Century Gothic" w:cs="Century Gothic"/>
          <w:sz w:val="20"/>
          <w:szCs w:val="20"/>
        </w:rPr>
      </w:pPr>
      <w:r w:rsidRPr="00D93A69">
        <w:rPr>
          <w:rFonts w:ascii="Century Gothic" w:eastAsia="Century Gothic" w:hAnsi="Century Gothic" w:cs="Century Gothic"/>
          <w:sz w:val="20"/>
          <w:szCs w:val="20"/>
        </w:rPr>
        <w:lastRenderedPageBreak/>
        <w:t xml:space="preserve">Obie Panie są współautorkami Planu Równości Płci w Uniwersytecie Gdańskim nagrodzonego w 2025 roku „EU </w:t>
      </w:r>
      <w:proofErr w:type="spellStart"/>
      <w:r w:rsidRPr="00D93A69">
        <w:rPr>
          <w:rFonts w:ascii="Century Gothic" w:eastAsia="Century Gothic" w:hAnsi="Century Gothic" w:cs="Century Gothic"/>
          <w:sz w:val="20"/>
          <w:szCs w:val="20"/>
        </w:rPr>
        <w:t>Award</w:t>
      </w:r>
      <w:proofErr w:type="spellEnd"/>
      <w:r w:rsidRPr="00D93A69">
        <w:rPr>
          <w:rFonts w:ascii="Century Gothic" w:eastAsia="Century Gothic" w:hAnsi="Century Gothic" w:cs="Century Gothic"/>
          <w:sz w:val="20"/>
          <w:szCs w:val="20"/>
        </w:rPr>
        <w:t xml:space="preserve"> for </w:t>
      </w:r>
      <w:proofErr w:type="spellStart"/>
      <w:r w:rsidRPr="00D93A69">
        <w:rPr>
          <w:rFonts w:ascii="Century Gothic" w:eastAsia="Century Gothic" w:hAnsi="Century Gothic" w:cs="Century Gothic"/>
          <w:sz w:val="20"/>
          <w:szCs w:val="20"/>
        </w:rPr>
        <w:t>Gender</w:t>
      </w:r>
      <w:proofErr w:type="spellEnd"/>
      <w:r w:rsidRPr="00D93A69">
        <w:rPr>
          <w:rFonts w:ascii="Century Gothic" w:eastAsia="Century Gothic" w:hAnsi="Century Gothic" w:cs="Century Gothic"/>
          <w:sz w:val="20"/>
          <w:szCs w:val="20"/>
        </w:rPr>
        <w:t xml:space="preserve"> </w:t>
      </w:r>
      <w:proofErr w:type="spellStart"/>
      <w:r w:rsidRPr="00D93A69">
        <w:rPr>
          <w:rFonts w:ascii="Century Gothic" w:eastAsia="Century Gothic" w:hAnsi="Century Gothic" w:cs="Century Gothic"/>
          <w:sz w:val="20"/>
          <w:szCs w:val="20"/>
        </w:rPr>
        <w:t>Equality</w:t>
      </w:r>
      <w:proofErr w:type="spellEnd"/>
      <w:r w:rsidRPr="00D93A69">
        <w:rPr>
          <w:rFonts w:ascii="Century Gothic" w:eastAsia="Century Gothic" w:hAnsi="Century Gothic" w:cs="Century Gothic"/>
          <w:sz w:val="20"/>
          <w:szCs w:val="20"/>
        </w:rPr>
        <w:t xml:space="preserve"> </w:t>
      </w:r>
      <w:proofErr w:type="spellStart"/>
      <w:r w:rsidRPr="00D93A69">
        <w:rPr>
          <w:rFonts w:ascii="Century Gothic" w:eastAsia="Century Gothic" w:hAnsi="Century Gothic" w:cs="Century Gothic"/>
          <w:sz w:val="20"/>
          <w:szCs w:val="20"/>
        </w:rPr>
        <w:t>Champions</w:t>
      </w:r>
      <w:proofErr w:type="spellEnd"/>
      <w:r w:rsidRPr="00D93A69">
        <w:rPr>
          <w:rFonts w:ascii="Century Gothic" w:eastAsia="Century Gothic" w:hAnsi="Century Gothic" w:cs="Century Gothic"/>
          <w:sz w:val="20"/>
          <w:szCs w:val="20"/>
        </w:rPr>
        <w:t>”.</w:t>
      </w:r>
    </w:p>
    <w:p w14:paraId="46783246" w14:textId="77777777" w:rsidR="006C3684" w:rsidRPr="007B1449" w:rsidRDefault="00F32F96">
      <w:pPr>
        <w:jc w:val="center"/>
        <w:rPr>
          <w:lang w:val="en-US"/>
        </w:rPr>
      </w:pPr>
      <w:r w:rsidRPr="007B1449">
        <w:rPr>
          <w:rFonts w:ascii="Century Gothic" w:eastAsia="Century Gothic" w:hAnsi="Century Gothic" w:cs="Century Gothic"/>
          <w:sz w:val="22"/>
          <w:szCs w:val="22"/>
          <w:lang w:val="en-US"/>
        </w:rPr>
        <w:t>***</w:t>
      </w:r>
    </w:p>
    <w:p w14:paraId="0C2D7D00" w14:textId="77777777" w:rsidR="006C3684" w:rsidRPr="007B1449" w:rsidRDefault="00F32F96">
      <w:pPr>
        <w:spacing w:after="0"/>
        <w:jc w:val="both"/>
        <w:rPr>
          <w:rFonts w:ascii="Century Gothic" w:eastAsia="Century Gothic" w:hAnsi="Century Gothic" w:cs="Century Gothic"/>
          <w:sz w:val="18"/>
          <w:szCs w:val="18"/>
          <w:lang w:val="en-US"/>
        </w:rPr>
      </w:pPr>
      <w:r w:rsidRPr="007B1449">
        <w:rPr>
          <w:rFonts w:ascii="Century Gothic" w:eastAsia="Century Gothic" w:hAnsi="Century Gothic" w:cs="Century Gothic"/>
          <w:b/>
          <w:bCs/>
          <w:sz w:val="18"/>
          <w:szCs w:val="18"/>
          <w:lang w:val="en-US"/>
        </w:rPr>
        <w:t>INFORMACJE O PROGRAMIE GLOBALNYM</w:t>
      </w:r>
      <w:r w:rsidRPr="007B1449">
        <w:rPr>
          <w:rFonts w:ascii="Century Gothic" w:eastAsia="Century Gothic" w:hAnsi="Century Gothic" w:cs="Century Gothic"/>
          <w:sz w:val="18"/>
          <w:szCs w:val="18"/>
          <w:lang w:val="en-US"/>
        </w:rPr>
        <w:t> </w:t>
      </w:r>
      <w:r w:rsidRPr="007B1449">
        <w:rPr>
          <w:rFonts w:ascii="Century Gothic" w:eastAsia="Century Gothic" w:hAnsi="Century Gothic" w:cs="Century Gothic"/>
          <w:b/>
          <w:bCs/>
          <w:sz w:val="18"/>
          <w:szCs w:val="18"/>
          <w:lang w:val="en-US"/>
        </w:rPr>
        <w:t xml:space="preserve"> L’Oréal-UNESCO </w:t>
      </w:r>
      <w:r w:rsidRPr="007B1449">
        <w:rPr>
          <w:rFonts w:ascii="Century Gothic" w:eastAsia="Century Gothic" w:hAnsi="Century Gothic" w:cs="Century Gothic"/>
          <w:b/>
          <w:bCs/>
          <w:i/>
          <w:iCs/>
          <w:sz w:val="18"/>
          <w:szCs w:val="18"/>
          <w:lang w:val="en-US"/>
        </w:rPr>
        <w:t>For Women in Science</w:t>
      </w:r>
      <w:r w:rsidRPr="007B1449">
        <w:rPr>
          <w:rFonts w:ascii="Century Gothic" w:eastAsia="Century Gothic" w:hAnsi="Century Gothic" w:cs="Century Gothic"/>
          <w:sz w:val="18"/>
          <w:szCs w:val="18"/>
          <w:lang w:val="en-US"/>
        </w:rPr>
        <w:t> </w:t>
      </w:r>
    </w:p>
    <w:p w14:paraId="48212D1C" w14:textId="77777777" w:rsidR="006C3684" w:rsidRDefault="00F32F96">
      <w:p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Od 1998 roku Fundacja L’Oréal i UNESCO wspólnie działają na rzecz promowania kobiet w nauce poprzez tworzenie programów, które stawiają </w:t>
      </w:r>
      <w:proofErr w:type="spellStart"/>
      <w:r>
        <w:rPr>
          <w:rFonts w:ascii="Century Gothic" w:eastAsia="Century Gothic" w:hAnsi="Century Gothic" w:cs="Century Gothic"/>
          <w:sz w:val="18"/>
          <w:szCs w:val="18"/>
        </w:rPr>
        <w:t>naukowczynie</w:t>
      </w:r>
      <w:proofErr w:type="spellEnd"/>
      <w:r>
        <w:rPr>
          <w:rFonts w:ascii="Century Gothic" w:eastAsia="Century Gothic" w:hAnsi="Century Gothic" w:cs="Century Gothic"/>
          <w:sz w:val="18"/>
          <w:szCs w:val="18"/>
        </w:rPr>
        <w:t xml:space="preserve"> w centrum uwagi i wspierają ich osiągnięcia. </w:t>
      </w:r>
    </w:p>
    <w:p w14:paraId="3BCC6948" w14:textId="77777777" w:rsidR="006C3684" w:rsidRDefault="00F32F96">
      <w:p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 ciągu 27 lat globalnego Programu L'Oréal-UNESCO For </w:t>
      </w:r>
      <w:proofErr w:type="spellStart"/>
      <w:r>
        <w:rPr>
          <w:rFonts w:ascii="Century Gothic" w:eastAsia="Century Gothic" w:hAnsi="Century Gothic" w:cs="Century Gothic"/>
          <w:sz w:val="18"/>
          <w:szCs w:val="18"/>
        </w:rPr>
        <w:t>Women</w:t>
      </w:r>
      <w:proofErr w:type="spellEnd"/>
      <w:r>
        <w:rPr>
          <w:rFonts w:ascii="Century Gothic" w:eastAsia="Century Gothic" w:hAnsi="Century Gothic" w:cs="Century Gothic"/>
          <w:sz w:val="18"/>
          <w:szCs w:val="18"/>
        </w:rPr>
        <w:t xml:space="preserve"> in Science wręczono stypendia ponad 4400 utalentowanym kobietom na całym świecie – w ramach 53 programów lokalnych, obecnych w ponad 140 krajach na świecie. Rocznie przyznawanych jest ponad 250 stypendiów. W prace zaangażowanych jest ponad 50 instytucji naukowych z całego świata i 500 współpracujących naukowców i </w:t>
      </w:r>
      <w:proofErr w:type="spellStart"/>
      <w:r>
        <w:rPr>
          <w:rFonts w:ascii="Century Gothic" w:eastAsia="Century Gothic" w:hAnsi="Century Gothic" w:cs="Century Gothic"/>
          <w:sz w:val="18"/>
          <w:szCs w:val="18"/>
        </w:rPr>
        <w:t>naukowczyń</w:t>
      </w:r>
      <w:proofErr w:type="spellEnd"/>
      <w:r>
        <w:rPr>
          <w:rFonts w:ascii="Century Gothic" w:eastAsia="Century Gothic" w:hAnsi="Century Gothic" w:cs="Century Gothic"/>
          <w:sz w:val="18"/>
          <w:szCs w:val="18"/>
        </w:rPr>
        <w:t xml:space="preserve">. Poza lokalnymi programami stypendialnymi, każdego roku 5 kobiet otrzymuje nagrodę L'Oréal-UNESCO For </w:t>
      </w:r>
      <w:proofErr w:type="spellStart"/>
      <w:r>
        <w:rPr>
          <w:rFonts w:ascii="Century Gothic" w:eastAsia="Century Gothic" w:hAnsi="Century Gothic" w:cs="Century Gothic"/>
          <w:sz w:val="18"/>
          <w:szCs w:val="18"/>
        </w:rPr>
        <w:t>Women</w:t>
      </w:r>
      <w:proofErr w:type="spellEnd"/>
      <w:r>
        <w:rPr>
          <w:rFonts w:ascii="Century Gothic" w:eastAsia="Century Gothic" w:hAnsi="Century Gothic" w:cs="Century Gothic"/>
          <w:sz w:val="18"/>
          <w:szCs w:val="18"/>
        </w:rPr>
        <w:t xml:space="preserve"> in Science </w:t>
      </w:r>
      <w:proofErr w:type="spellStart"/>
      <w:r>
        <w:rPr>
          <w:rFonts w:ascii="Century Gothic" w:eastAsia="Century Gothic" w:hAnsi="Century Gothic" w:cs="Century Gothic"/>
          <w:sz w:val="18"/>
          <w:szCs w:val="18"/>
        </w:rPr>
        <w:t>Award</w:t>
      </w:r>
      <w:proofErr w:type="spellEnd"/>
      <w:r>
        <w:rPr>
          <w:rFonts w:ascii="Century Gothic" w:eastAsia="Century Gothic" w:hAnsi="Century Gothic" w:cs="Century Gothic"/>
          <w:sz w:val="18"/>
          <w:szCs w:val="18"/>
        </w:rPr>
        <w:t xml:space="preserve"> za wybitne osiągnięcia naukowe. Przez 27 lat nagrodzono 137 kobiet.</w:t>
      </w:r>
      <w:r>
        <w:rPr>
          <w:rFonts w:ascii="Arial" w:eastAsia="Arial" w:hAnsi="Arial" w:cs="Arial"/>
          <w:sz w:val="18"/>
          <w:szCs w:val="18"/>
        </w:rPr>
        <w:t> </w:t>
      </w:r>
      <w:r>
        <w:rPr>
          <w:rFonts w:ascii="Century Gothic" w:eastAsia="Century Gothic" w:hAnsi="Century Gothic" w:cs="Century Gothic"/>
          <w:sz w:val="18"/>
          <w:szCs w:val="18"/>
        </w:rPr>
        <w:t xml:space="preserve"> Dotychczas aż 7 laureatek globalnego programu L'Oréal-UNESCO For </w:t>
      </w:r>
      <w:proofErr w:type="spellStart"/>
      <w:r>
        <w:rPr>
          <w:rFonts w:ascii="Century Gothic" w:eastAsia="Century Gothic" w:hAnsi="Century Gothic" w:cs="Century Gothic"/>
          <w:sz w:val="18"/>
          <w:szCs w:val="18"/>
        </w:rPr>
        <w:t>Women</w:t>
      </w:r>
      <w:proofErr w:type="spellEnd"/>
      <w:r>
        <w:rPr>
          <w:rFonts w:ascii="Century Gothic" w:eastAsia="Century Gothic" w:hAnsi="Century Gothic" w:cs="Century Gothic"/>
          <w:sz w:val="18"/>
          <w:szCs w:val="18"/>
        </w:rPr>
        <w:t xml:space="preserve"> in Science </w:t>
      </w:r>
      <w:proofErr w:type="spellStart"/>
      <w:r>
        <w:rPr>
          <w:rFonts w:ascii="Century Gothic" w:eastAsia="Century Gothic" w:hAnsi="Century Gothic" w:cs="Century Gothic"/>
          <w:sz w:val="18"/>
          <w:szCs w:val="18"/>
        </w:rPr>
        <w:t>Awards</w:t>
      </w:r>
      <w:proofErr w:type="spellEnd"/>
      <w:r>
        <w:rPr>
          <w:rFonts w:ascii="Century Gothic" w:eastAsia="Century Gothic" w:hAnsi="Century Gothic" w:cs="Century Gothic"/>
          <w:sz w:val="18"/>
          <w:szCs w:val="18"/>
        </w:rPr>
        <w:t xml:space="preserve"> otrzymało Nagrody Nobla. </w:t>
      </w:r>
    </w:p>
    <w:p w14:paraId="2BEFCE64" w14:textId="77777777" w:rsidR="006C3684" w:rsidRDefault="00F32F96">
      <w:p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Wieloletnie działania prowadzone przez L'Oréal wspólnie z partnerami, pomagają wzmacniać równość płci w nauce, podkreślając pracę badawczą wybitnych </w:t>
      </w:r>
      <w:proofErr w:type="spellStart"/>
      <w:r>
        <w:rPr>
          <w:rFonts w:ascii="Century Gothic" w:eastAsia="Century Gothic" w:hAnsi="Century Gothic" w:cs="Century Gothic"/>
          <w:sz w:val="18"/>
          <w:szCs w:val="18"/>
        </w:rPr>
        <w:t>naukowczyń</w:t>
      </w:r>
      <w:proofErr w:type="spellEnd"/>
      <w:r>
        <w:rPr>
          <w:rFonts w:ascii="Century Gothic" w:eastAsia="Century Gothic" w:hAnsi="Century Gothic" w:cs="Century Gothic"/>
          <w:sz w:val="18"/>
          <w:szCs w:val="18"/>
        </w:rPr>
        <w:t xml:space="preserve">, pomagając kobietom w rozwijaniu zdolności w kierunku przywództwa naukowego oraz inspirując kolejne pokolenia badaczek.  </w:t>
      </w:r>
    </w:p>
    <w:p w14:paraId="29CDA700" w14:textId="77777777" w:rsidR="006C3684" w:rsidRDefault="006C3684">
      <w:pPr>
        <w:spacing w:after="0"/>
        <w:jc w:val="both"/>
        <w:rPr>
          <w:rFonts w:ascii="Century Gothic" w:eastAsia="Century Gothic" w:hAnsi="Century Gothic" w:cs="Century Gothic"/>
          <w:sz w:val="18"/>
          <w:szCs w:val="18"/>
        </w:rPr>
      </w:pPr>
    </w:p>
    <w:bookmarkStart w:id="3" w:name="_heading=h.wq4027uys7pj" w:colFirst="0" w:colLast="0"/>
    <w:bookmarkEnd w:id="3"/>
    <w:p w14:paraId="518C6837" w14:textId="77777777" w:rsidR="006C3684" w:rsidRDefault="00F32F96">
      <w:pPr>
        <w:spacing w:after="0"/>
        <w:jc w:val="center"/>
        <w:rPr>
          <w:rFonts w:ascii="Century Gothic" w:eastAsia="Century Gothic" w:hAnsi="Century Gothic" w:cs="Century Gothic"/>
          <w:b/>
          <w:bCs/>
          <w:sz w:val="22"/>
          <w:szCs w:val="22"/>
        </w:rPr>
      </w:pPr>
      <w:r>
        <w:fldChar w:fldCharType="begin"/>
      </w:r>
      <w:r>
        <w:instrText>HYPERLINK "http://www.forwomeninscience.com" \h</w:instrText>
      </w:r>
      <w:r>
        <w:fldChar w:fldCharType="separate"/>
      </w:r>
      <w:r>
        <w:rPr>
          <w:rFonts w:ascii="Century Gothic" w:eastAsia="Century Gothic" w:hAnsi="Century Gothic" w:cs="Century Gothic"/>
          <w:b/>
          <w:bCs/>
          <w:color w:val="467886"/>
          <w:sz w:val="22"/>
          <w:szCs w:val="22"/>
          <w:u w:val="single"/>
        </w:rPr>
        <w:t>www.forwomeninscience.com</w:t>
      </w:r>
      <w:r>
        <w:fldChar w:fldCharType="end"/>
      </w:r>
    </w:p>
    <w:p w14:paraId="3BC718B0" w14:textId="77777777" w:rsidR="00D93A69" w:rsidRDefault="00D93A69">
      <w:pPr>
        <w:spacing w:after="0"/>
        <w:jc w:val="both"/>
        <w:rPr>
          <w:rFonts w:ascii="Century Gothic" w:eastAsia="Century Gothic" w:hAnsi="Century Gothic" w:cs="Century Gothic"/>
          <w:b/>
          <w:bCs/>
          <w:sz w:val="18"/>
          <w:szCs w:val="18"/>
        </w:rPr>
      </w:pPr>
    </w:p>
    <w:p w14:paraId="126826A8" w14:textId="25BF6D0B" w:rsidR="00983D7E" w:rsidRDefault="00983D7E">
      <w:pPr>
        <w:spacing w:after="0"/>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INFORMACJE O PROGRAMIE POLSKIM L’Oréal-UNESCO </w:t>
      </w:r>
      <w:r>
        <w:rPr>
          <w:rFonts w:ascii="Century Gothic" w:eastAsia="Century Gothic" w:hAnsi="Century Gothic" w:cs="Century Gothic"/>
          <w:b/>
          <w:bCs/>
          <w:i/>
          <w:iCs/>
          <w:sz w:val="18"/>
          <w:szCs w:val="18"/>
        </w:rPr>
        <w:t>Dla Kobiet i Nauki</w:t>
      </w:r>
    </w:p>
    <w:p w14:paraId="5D929273" w14:textId="21353CBF" w:rsidR="006C3684" w:rsidRDefault="00F32F96">
      <w:p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 Polsce program L’Oréal-UNESCO Dla Kobiet i Nauki, prowadzony jest od 2001 roku. Jego celem jest promowanie osiągnięć naukowych utalentowanych badaczek, zachęcanie ich do kontynuacji prac zmierzających do rozwoju nauki oraz udzielenie wsparcia finansowego. Partnerami Programu są Polski Komitet do spraw UNESCO, Ministerstwo Nauki i Szkolnictwa Wyższego, Polska Akademia Nauk oraz UN Global Compact Network Poland. W Polsce, łącznie z tegoroczną edycją, wyróżniono już 137 </w:t>
      </w:r>
      <w:proofErr w:type="spellStart"/>
      <w:r>
        <w:rPr>
          <w:rFonts w:ascii="Century Gothic" w:eastAsia="Century Gothic" w:hAnsi="Century Gothic" w:cs="Century Gothic"/>
          <w:sz w:val="18"/>
          <w:szCs w:val="18"/>
        </w:rPr>
        <w:t>naukowczyń</w:t>
      </w:r>
      <w:proofErr w:type="spellEnd"/>
      <w:r>
        <w:rPr>
          <w:rFonts w:ascii="Century Gothic" w:eastAsia="Century Gothic" w:hAnsi="Century Gothic" w:cs="Century Gothic"/>
          <w:sz w:val="18"/>
          <w:szCs w:val="18"/>
        </w:rPr>
        <w:t>. Wyboru stypendystek, co roku dokonuje niezależne Jury pod przewodnictwem prof. dr hab. Ewy </w:t>
      </w:r>
      <w:proofErr w:type="spellStart"/>
      <w:r>
        <w:rPr>
          <w:rFonts w:ascii="Century Gothic" w:eastAsia="Century Gothic" w:hAnsi="Century Gothic" w:cs="Century Gothic"/>
          <w:sz w:val="18"/>
          <w:szCs w:val="18"/>
        </w:rPr>
        <w:t>Łojkowskiej</w:t>
      </w:r>
      <w:proofErr w:type="spellEnd"/>
      <w:r>
        <w:rPr>
          <w:rFonts w:ascii="Century Gothic" w:eastAsia="Century Gothic" w:hAnsi="Century Gothic" w:cs="Century Gothic"/>
          <w:sz w:val="18"/>
          <w:szCs w:val="18"/>
        </w:rPr>
        <w:t>. </w:t>
      </w:r>
    </w:p>
    <w:p w14:paraId="5B091E57" w14:textId="77777777" w:rsidR="006C3684" w:rsidRDefault="006C3684">
      <w:pPr>
        <w:spacing w:after="0"/>
        <w:jc w:val="center"/>
        <w:rPr>
          <w:rFonts w:ascii="Century Gothic" w:eastAsia="Century Gothic" w:hAnsi="Century Gothic" w:cs="Century Gothic"/>
          <w:b/>
          <w:bCs/>
          <w:sz w:val="22"/>
          <w:szCs w:val="22"/>
        </w:rPr>
      </w:pPr>
      <w:hyperlink r:id="rId16">
        <w:r>
          <w:rPr>
            <w:rFonts w:ascii="Century Gothic" w:eastAsia="Century Gothic" w:hAnsi="Century Gothic" w:cs="Century Gothic"/>
            <w:b/>
            <w:bCs/>
            <w:color w:val="467886"/>
            <w:sz w:val="22"/>
            <w:szCs w:val="22"/>
            <w:u w:val="single"/>
          </w:rPr>
          <w:t>www.lorealdlakobietinauki.pl</w:t>
        </w:r>
      </w:hyperlink>
      <w:r>
        <w:rPr>
          <w:rFonts w:ascii="Century Gothic" w:eastAsia="Century Gothic" w:hAnsi="Century Gothic" w:cs="Century Gothic"/>
          <w:b/>
          <w:bCs/>
          <w:sz w:val="22"/>
          <w:szCs w:val="22"/>
        </w:rPr>
        <w:t> </w:t>
      </w:r>
    </w:p>
    <w:p w14:paraId="07DDE446" w14:textId="77777777" w:rsidR="006C3684" w:rsidRDefault="006C3684">
      <w:pPr>
        <w:spacing w:after="0"/>
        <w:rPr>
          <w:rFonts w:ascii="Century Gothic" w:eastAsia="Century Gothic" w:hAnsi="Century Gothic" w:cs="Century Gothic"/>
          <w:i/>
          <w:iCs/>
          <w:color w:val="000000"/>
          <w:sz w:val="22"/>
          <w:szCs w:val="22"/>
        </w:rPr>
      </w:pPr>
    </w:p>
    <w:p w14:paraId="668AFDC9" w14:textId="77777777" w:rsidR="006C3684" w:rsidRDefault="00F32F96">
      <w:pPr>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Kontakt dla mediów</w:t>
      </w:r>
    </w:p>
    <w:tbl>
      <w:tblPr>
        <w:tblW w:w="8763" w:type="dxa"/>
        <w:tblLayout w:type="fixed"/>
        <w:tblCellMar>
          <w:left w:w="115" w:type="dxa"/>
          <w:right w:w="115" w:type="dxa"/>
        </w:tblCellMar>
        <w:tblLook w:val="0400" w:firstRow="0" w:lastRow="0" w:firstColumn="0" w:lastColumn="0" w:noHBand="0" w:noVBand="1"/>
      </w:tblPr>
      <w:tblGrid>
        <w:gridCol w:w="4392"/>
        <w:gridCol w:w="4371"/>
      </w:tblGrid>
      <w:tr w:rsidR="006C3684" w14:paraId="2275864B" w14:textId="77777777">
        <w:trPr>
          <w:trHeight w:val="300"/>
        </w:trPr>
        <w:tc>
          <w:tcPr>
            <w:tcW w:w="4392" w:type="dxa"/>
            <w:tcMar>
              <w:left w:w="108" w:type="dxa"/>
              <w:right w:w="108" w:type="dxa"/>
            </w:tcMar>
          </w:tcPr>
          <w:p w14:paraId="7D36F63C" w14:textId="77777777" w:rsidR="006C3684" w:rsidRDefault="00F32F96">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L’Oréal Polska</w:t>
            </w:r>
          </w:p>
          <w:p w14:paraId="4091636B" w14:textId="77777777" w:rsidR="006C3684" w:rsidRDefault="00F32F96">
            <w:pPr>
              <w:spacing w:after="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Barbara Stępień </w:t>
            </w:r>
          </w:p>
          <w:p w14:paraId="249FD105" w14:textId="77777777" w:rsidR="006C3684" w:rsidRDefault="00F32F96">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Dyrektorka Komunikacji Korporacyjnej</w:t>
            </w:r>
          </w:p>
          <w:p w14:paraId="22227BCB" w14:textId="77777777" w:rsidR="006C3684" w:rsidRDefault="00F32F96">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Menedżerka Programu </w:t>
            </w:r>
            <w:r>
              <w:rPr>
                <w:rFonts w:ascii="Century Gothic" w:eastAsia="Century Gothic" w:hAnsi="Century Gothic" w:cs="Century Gothic"/>
                <w:i/>
                <w:iCs/>
                <w:sz w:val="20"/>
                <w:szCs w:val="20"/>
              </w:rPr>
              <w:t xml:space="preserve">Dla Kobiet </w:t>
            </w:r>
            <w:r>
              <w:rPr>
                <w:sz w:val="20"/>
                <w:szCs w:val="20"/>
              </w:rPr>
              <w:br/>
            </w:r>
            <w:r>
              <w:rPr>
                <w:rFonts w:ascii="Century Gothic" w:eastAsia="Century Gothic" w:hAnsi="Century Gothic" w:cs="Century Gothic"/>
                <w:i/>
                <w:iCs/>
                <w:sz w:val="20"/>
                <w:szCs w:val="20"/>
              </w:rPr>
              <w:t>i Nauki</w:t>
            </w:r>
            <w:r>
              <w:rPr>
                <w:rFonts w:ascii="Century Gothic" w:eastAsia="Century Gothic" w:hAnsi="Century Gothic" w:cs="Century Gothic"/>
                <w:sz w:val="20"/>
                <w:szCs w:val="20"/>
              </w:rPr>
              <w:t xml:space="preserve"> (</w:t>
            </w:r>
            <w:r>
              <w:rPr>
                <w:rFonts w:ascii="Century Gothic" w:eastAsia="Century Gothic" w:hAnsi="Century Gothic" w:cs="Century Gothic"/>
                <w:i/>
                <w:iCs/>
                <w:sz w:val="20"/>
                <w:szCs w:val="20"/>
              </w:rPr>
              <w:t xml:space="preserve">For </w:t>
            </w:r>
            <w:proofErr w:type="spellStart"/>
            <w:r>
              <w:rPr>
                <w:rFonts w:ascii="Century Gothic" w:eastAsia="Century Gothic" w:hAnsi="Century Gothic" w:cs="Century Gothic"/>
                <w:i/>
                <w:iCs/>
                <w:sz w:val="20"/>
                <w:szCs w:val="20"/>
              </w:rPr>
              <w:t>Women</w:t>
            </w:r>
            <w:proofErr w:type="spellEnd"/>
            <w:r>
              <w:rPr>
                <w:rFonts w:ascii="Century Gothic" w:eastAsia="Century Gothic" w:hAnsi="Century Gothic" w:cs="Century Gothic"/>
                <w:i/>
                <w:iCs/>
                <w:sz w:val="20"/>
                <w:szCs w:val="20"/>
              </w:rPr>
              <w:t xml:space="preserve"> in Science</w:t>
            </w:r>
            <w:r>
              <w:rPr>
                <w:rFonts w:ascii="Century Gothic" w:eastAsia="Century Gothic" w:hAnsi="Century Gothic" w:cs="Century Gothic"/>
                <w:sz w:val="20"/>
                <w:szCs w:val="20"/>
              </w:rPr>
              <w:t>)</w:t>
            </w:r>
          </w:p>
          <w:p w14:paraId="1FF3DF75" w14:textId="77777777" w:rsidR="006C3684" w:rsidRDefault="00F32F96">
            <w:pPr>
              <w:spacing w:after="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69D054A2" w14:textId="77777777" w:rsidR="006C3684" w:rsidRDefault="00F32F96">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tel. 509 526 026</w:t>
            </w:r>
          </w:p>
          <w:p w14:paraId="784BAF7A" w14:textId="77777777" w:rsidR="006C3684" w:rsidRDefault="006C3684">
            <w:pPr>
              <w:spacing w:after="0"/>
              <w:rPr>
                <w:rFonts w:ascii="Century Gothic" w:eastAsia="Century Gothic" w:hAnsi="Century Gothic" w:cs="Century Gothic"/>
                <w:color w:val="467886"/>
                <w:sz w:val="20"/>
                <w:szCs w:val="20"/>
                <w:u w:val="single"/>
              </w:rPr>
            </w:pPr>
            <w:hyperlink r:id="rId17">
              <w:r>
                <w:rPr>
                  <w:rFonts w:ascii="Century Gothic" w:eastAsia="Century Gothic" w:hAnsi="Century Gothic" w:cs="Century Gothic"/>
                  <w:color w:val="467886"/>
                  <w:sz w:val="20"/>
                  <w:szCs w:val="20"/>
                  <w:u w:val="single"/>
                </w:rPr>
                <w:t>barbara.stepien@loreal.com</w:t>
              </w:r>
            </w:hyperlink>
          </w:p>
        </w:tc>
        <w:tc>
          <w:tcPr>
            <w:tcW w:w="4371" w:type="dxa"/>
            <w:tcMar>
              <w:left w:w="108" w:type="dxa"/>
              <w:right w:w="108" w:type="dxa"/>
            </w:tcMar>
          </w:tcPr>
          <w:p w14:paraId="0A97D95A" w14:textId="77777777" w:rsidR="006C3684" w:rsidRDefault="00F32F96">
            <w:pPr>
              <w:spacing w:after="0" w:line="240" w:lineRule="auto"/>
              <w:rPr>
                <w:rFonts w:ascii="Century Gothic" w:eastAsia="Century Gothic" w:hAnsi="Century Gothic" w:cs="Century Gothic"/>
                <w:i/>
                <w:iCs/>
                <w:sz w:val="20"/>
                <w:szCs w:val="20"/>
              </w:rPr>
            </w:pPr>
            <w:r>
              <w:rPr>
                <w:rFonts w:ascii="Century Gothic" w:eastAsia="Century Gothic" w:hAnsi="Century Gothic" w:cs="Century Gothic"/>
                <w:sz w:val="20"/>
                <w:szCs w:val="20"/>
              </w:rPr>
              <w:t xml:space="preserve">Biuro prasowe </w:t>
            </w:r>
            <w:r>
              <w:rPr>
                <w:sz w:val="20"/>
                <w:szCs w:val="20"/>
              </w:rPr>
              <w:br/>
            </w:r>
            <w:r>
              <w:rPr>
                <w:rFonts w:ascii="Century Gothic" w:eastAsia="Century Gothic" w:hAnsi="Century Gothic" w:cs="Century Gothic"/>
                <w:sz w:val="20"/>
                <w:szCs w:val="20"/>
              </w:rPr>
              <w:t xml:space="preserve">Programu </w:t>
            </w:r>
            <w:r>
              <w:rPr>
                <w:rFonts w:ascii="Century Gothic" w:eastAsia="Century Gothic" w:hAnsi="Century Gothic" w:cs="Century Gothic"/>
                <w:i/>
                <w:iCs/>
                <w:sz w:val="20"/>
                <w:szCs w:val="20"/>
              </w:rPr>
              <w:t>Dla Kobiet i Nauki</w:t>
            </w:r>
          </w:p>
          <w:p w14:paraId="7E7A1940" w14:textId="77777777" w:rsidR="006C3684" w:rsidRPr="007B1449" w:rsidRDefault="00F32F96">
            <w:pPr>
              <w:spacing w:after="0" w:line="240" w:lineRule="auto"/>
              <w:rPr>
                <w:rFonts w:ascii="Century Gothic" w:eastAsia="Century Gothic" w:hAnsi="Century Gothic" w:cs="Century Gothic"/>
                <w:b/>
                <w:bCs/>
                <w:sz w:val="20"/>
                <w:szCs w:val="20"/>
                <w:lang w:val="en-US"/>
              </w:rPr>
            </w:pPr>
            <w:r w:rsidRPr="007B1449">
              <w:rPr>
                <w:rFonts w:ascii="Century Gothic" w:eastAsia="Century Gothic" w:hAnsi="Century Gothic" w:cs="Century Gothic"/>
                <w:b/>
                <w:bCs/>
                <w:sz w:val="20"/>
                <w:szCs w:val="20"/>
                <w:lang w:val="en-US"/>
              </w:rPr>
              <w:t>Paulina Fajtek</w:t>
            </w:r>
          </w:p>
          <w:p w14:paraId="2D279800" w14:textId="77777777" w:rsidR="006C3684" w:rsidRPr="007B1449" w:rsidRDefault="00F32F96">
            <w:pPr>
              <w:spacing w:after="0" w:line="240" w:lineRule="auto"/>
              <w:rPr>
                <w:rFonts w:ascii="Century Gothic" w:eastAsia="Century Gothic" w:hAnsi="Century Gothic" w:cs="Century Gothic"/>
                <w:sz w:val="20"/>
                <w:szCs w:val="20"/>
                <w:lang w:val="en-US"/>
              </w:rPr>
            </w:pPr>
            <w:r w:rsidRPr="007B1449">
              <w:rPr>
                <w:rFonts w:ascii="Century Gothic" w:eastAsia="Century Gothic" w:hAnsi="Century Gothic" w:cs="Century Gothic"/>
                <w:sz w:val="20"/>
                <w:szCs w:val="20"/>
                <w:lang w:val="en-US"/>
              </w:rPr>
              <w:t>On Board Think Kong</w:t>
            </w:r>
          </w:p>
          <w:p w14:paraId="62FEF344" w14:textId="77777777" w:rsidR="006C3684" w:rsidRPr="007B1449" w:rsidRDefault="00F32F96">
            <w:pPr>
              <w:spacing w:after="0" w:line="240" w:lineRule="auto"/>
              <w:rPr>
                <w:rFonts w:ascii="Century Gothic" w:eastAsia="Century Gothic" w:hAnsi="Century Gothic" w:cs="Century Gothic"/>
                <w:sz w:val="20"/>
                <w:szCs w:val="20"/>
                <w:lang w:val="en-US"/>
              </w:rPr>
            </w:pPr>
            <w:r w:rsidRPr="007B1449">
              <w:rPr>
                <w:rFonts w:ascii="Century Gothic" w:eastAsia="Century Gothic" w:hAnsi="Century Gothic" w:cs="Century Gothic"/>
                <w:sz w:val="20"/>
                <w:szCs w:val="20"/>
                <w:lang w:val="en-US"/>
              </w:rPr>
              <w:t xml:space="preserve"> </w:t>
            </w:r>
          </w:p>
          <w:p w14:paraId="69C76B8A" w14:textId="77777777" w:rsidR="006C3684" w:rsidRDefault="00F32F96">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tel. 791 515 193</w:t>
            </w:r>
            <w:r>
              <w:rPr>
                <w:rFonts w:ascii="Century Gothic" w:eastAsia="Century Gothic" w:hAnsi="Century Gothic" w:cs="Century Gothic"/>
                <w:sz w:val="20"/>
                <w:szCs w:val="20"/>
              </w:rPr>
              <w:br/>
              <w:t>pfajtek@obtk.pl</w:t>
            </w:r>
          </w:p>
        </w:tc>
      </w:tr>
    </w:tbl>
    <w:p w14:paraId="11ADBA13" w14:textId="77777777" w:rsidR="006C3684" w:rsidRDefault="006C3684">
      <w:pPr>
        <w:jc w:val="both"/>
        <w:rPr>
          <w:rFonts w:ascii="Century Gothic" w:eastAsia="Century Gothic" w:hAnsi="Century Gothic" w:cs="Century Gothic"/>
        </w:rPr>
      </w:pPr>
    </w:p>
    <w:sectPr w:rsidR="006C3684">
      <w:footerReference w:type="even" r:id="rId18"/>
      <w:footerReference w:type="default" r:id="rId19"/>
      <w:footerReference w:type="first" r:id="rId2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1C7EE" w14:textId="77777777" w:rsidR="00EC439F" w:rsidRDefault="00EC439F">
      <w:pPr>
        <w:spacing w:after="0" w:line="240" w:lineRule="auto"/>
      </w:pPr>
      <w:r>
        <w:separator/>
      </w:r>
    </w:p>
  </w:endnote>
  <w:endnote w:type="continuationSeparator" w:id="0">
    <w:p w14:paraId="620B97E6" w14:textId="77777777" w:rsidR="00EC439F" w:rsidRDefault="00EC4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F711C20-8CA3-4560-A34C-2C902C7A6E6B}"/>
    <w:embedBold r:id="rId2" w:fontKey="{B378B483-A308-44D9-B5C2-AC8108C7809A}"/>
    <w:embedItalic r:id="rId3" w:fontKey="{527B0296-99C6-41A1-836D-C8DB5F24AA35}"/>
  </w:font>
  <w:font w:name="Play">
    <w:charset w:val="00"/>
    <w:family w:val="auto"/>
    <w:pitch w:val="default"/>
    <w:embedRegular r:id="rId4" w:fontKey="{D55915AE-E0D9-4310-A48E-2D3D866376B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C810D44F-0F69-4476-AA3B-C8296BD7F4E1}"/>
  </w:font>
  <w:font w:name="Aptos Display">
    <w:charset w:val="00"/>
    <w:family w:val="swiss"/>
    <w:pitch w:val="variable"/>
    <w:sig w:usb0="20000287" w:usb1="00000003" w:usb2="00000000" w:usb3="00000000" w:csb0="0000019F" w:csb1="00000000"/>
    <w:embedRegular r:id="rId6" w:fontKey="{CD67EE37-D1ED-4C4D-BEAB-6E7C57DBDEA4}"/>
  </w:font>
  <w:font w:name="Georgia">
    <w:panose1 w:val="02040502050405020303"/>
    <w:charset w:val="EE"/>
    <w:family w:val="roman"/>
    <w:pitch w:val="variable"/>
    <w:sig w:usb0="00000287" w:usb1="00000000" w:usb2="00000000" w:usb3="00000000" w:csb0="0000009F" w:csb1="00000000"/>
    <w:embedItalic r:id="rId7" w:fontKey="{7A30CFF6-550E-4943-A610-FEB28FAF4E2B}"/>
  </w:font>
  <w:font w:name="Century Gothic">
    <w:panose1 w:val="020B0502020202020204"/>
    <w:charset w:val="EE"/>
    <w:family w:val="swiss"/>
    <w:pitch w:val="variable"/>
    <w:sig w:usb0="00000287" w:usb1="00000000" w:usb2="00000000" w:usb3="00000000" w:csb0="0000009F" w:csb1="00000000"/>
    <w:embedRegular r:id="rId8" w:fontKey="{2FBE0E2A-F384-4BE6-BC99-6DF33FC83742}"/>
    <w:embedBold r:id="rId9" w:fontKey="{DDB13271-DD86-437C-B8E8-4ED1463B0ADC}"/>
    <w:embedItalic r:id="rId10" w:fontKey="{C9621414-B413-475A-93FF-E92BC95E8C21}"/>
    <w:embedBoldItalic r:id="rId11" w:fontKey="{4B3C310A-D462-4C18-AB1E-323EE41A36B5}"/>
  </w:font>
  <w:font w:name="Aptos Serif">
    <w:charset w:val="00"/>
    <w:family w:val="roman"/>
    <w:pitch w:val="variable"/>
    <w:sig w:usb0="A11526FF" w:usb1="C000ECFB" w:usb2="0001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06675" w14:textId="7521CD2B" w:rsidR="00B7288B" w:rsidRDefault="00B7288B">
    <w:pPr>
      <w:pStyle w:val="Stopka"/>
    </w:pPr>
    <w:r>
      <w:rPr>
        <w:noProof/>
      </w:rPr>
      <mc:AlternateContent>
        <mc:Choice Requires="wps">
          <w:drawing>
            <wp:anchor distT="0" distB="0" distL="0" distR="0" simplePos="0" relativeHeight="251659264" behindDoc="0" locked="0" layoutInCell="1" allowOverlap="1" wp14:anchorId="2CC8F11E" wp14:editId="34EEE55F">
              <wp:simplePos x="635" y="635"/>
              <wp:positionH relativeFrom="page">
                <wp:align>center</wp:align>
              </wp:positionH>
              <wp:positionV relativeFrom="page">
                <wp:align>bottom</wp:align>
              </wp:positionV>
              <wp:extent cx="845185" cy="342900"/>
              <wp:effectExtent l="0" t="0" r="12065" b="0"/>
              <wp:wrapNone/>
              <wp:docPr id="793888317" name="Pole tekstowe 2"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2900"/>
                      </a:xfrm>
                      <a:prstGeom prst="rect">
                        <a:avLst/>
                      </a:prstGeom>
                      <a:noFill/>
                      <a:ln>
                        <a:noFill/>
                      </a:ln>
                    </wps:spPr>
                    <wps:txbx>
                      <w:txbxContent>
                        <w:p w14:paraId="20C864A6" w14:textId="42C9E528"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C8F11E" id="_x0000_t202" coordsize="21600,21600" o:spt="202" path="m,l,21600r21600,l21600,xe">
              <v:stroke joinstyle="miter"/>
              <v:path gradientshapeok="t" o:connecttype="rect"/>
            </v:shapetype>
            <v:shape id="Pole tekstowe 2" o:spid="_x0000_s1026" type="#_x0000_t202" alt="C1 - Internal use" style="position:absolute;margin-left:0;margin-top:0;width:66.55pt;height:27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0YCwIAABUEAAAOAAAAZHJzL2Uyb0RvYy54bWysU01v2zAMvQ/YfxB0X+xkzZAacYqsRYYB&#10;QVsgHXpWZCk2IImCpMTOfv0o2U66bqdhF5kmKX6897S867QiJ+F8A6ak00lOiTAcqsYcSvrjZfNp&#10;QYkPzFRMgRElPQtP71YfPyxbW4gZ1KAq4QgWMb5obUnrEGyRZZ7XQjM/ASsMBiU4zQL+ukNWOdZi&#10;da2yWZ5/yVpwlXXAhffofeiDdJXqSyl4eJLSi0BUSXG2kE6Xzn08s9WSFQfHbN3wYQz2D1No1hhs&#10;ein1wAIjR9f8UUo33IEHGSYcdAZSNlykHXCbaf5um13NrEi7IDjeXmDy/68sfzzt7LMjofsKHRIY&#10;AWmtLzw64z6ddDp+cVKCcYTwfIFNdIFwdC5u5tPFnBKOoc83s9s8wZpdL1vnwzcBmkSjpA5ZSWCx&#10;09YHbIipY0rsZWDTKJWYUeY3ByZGT3adMFqh23fD2HuozriNg55ob/mmwZ5b5sMzc8gsLoBqDU94&#10;SAVtSWGwKKnB/fybP+Yj4BilpEWllNSglClR3w0SEUU1Gm409smY3uZzxIKYo74H1N8Un4LlyUSv&#10;C2o0pQP9ijpex0YYYoZju5LuR/M+9JLFd8DFep2SUD+Wha3ZWR5LR5wiiC/dK3N2QDogRY8wyogV&#10;7wDvc+NNb9fHgLAnNiKmPZAD1Ki9RNLwTqK43/6nrOtrXv0CAAD//wMAUEsDBBQABgAIAAAAIQCZ&#10;OxIZ2gAAAAQBAAAPAAAAZHJzL2Rvd25yZXYueG1sTI/BSsNAEIbvgu+wjODNbtqoSMymSMFTRWjr&#10;xdt0d5pEs7Mhu2nTt3fqRS8Dw//zzTflcvKdOtIQ28AG5rMMFLENruXawMfu9e4JVEzIDrvAZOBM&#10;EZbV9VWJhQsn3tBxm2olEI4FGmhS6guto23IY5yFnliyQxg8JlmHWrsBTwL3nV5k2aP22LJcaLCn&#10;VUP2ezt6Aw+b9Da+8y7/nBbnr3W/svlhbY25vZlenkElmtJfGS76og6VOO3DyC6qzoA8kn7nJcvz&#10;Oai9gO8z0FWp/8tXPwAAAP//AwBQSwECLQAUAAYACAAAACEAtoM4kv4AAADhAQAAEwAAAAAAAAAA&#10;AAAAAAAAAAAAW0NvbnRlbnRfVHlwZXNdLnhtbFBLAQItABQABgAIAAAAIQA4/SH/1gAAAJQBAAAL&#10;AAAAAAAAAAAAAAAAAC8BAABfcmVscy8ucmVsc1BLAQItABQABgAIAAAAIQDd5h0YCwIAABUEAAAO&#10;AAAAAAAAAAAAAAAAAC4CAABkcnMvZTJvRG9jLnhtbFBLAQItABQABgAIAAAAIQCZOxIZ2gAAAAQB&#10;AAAPAAAAAAAAAAAAAAAAAGUEAABkcnMvZG93bnJldi54bWxQSwUGAAAAAAQABADzAAAAbAUAAAAA&#10;" filled="f" stroked="f">
              <v:fill o:detectmouseclick="t"/>
              <v:textbox style="mso-fit-shape-to-text:t" inset="0,0,0,15pt">
                <w:txbxContent>
                  <w:p w14:paraId="20C864A6" w14:textId="42C9E528"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37789" w14:textId="426ADE48" w:rsidR="00B7288B" w:rsidRDefault="00B7288B">
    <w:pPr>
      <w:pStyle w:val="Stopka"/>
    </w:pPr>
    <w:r>
      <w:rPr>
        <w:noProof/>
      </w:rPr>
      <mc:AlternateContent>
        <mc:Choice Requires="wps">
          <w:drawing>
            <wp:anchor distT="0" distB="0" distL="0" distR="0" simplePos="0" relativeHeight="251660288" behindDoc="0" locked="0" layoutInCell="1" allowOverlap="1" wp14:anchorId="18DE4CB2" wp14:editId="58EEE462">
              <wp:simplePos x="901700" y="10058400"/>
              <wp:positionH relativeFrom="page">
                <wp:align>center</wp:align>
              </wp:positionH>
              <wp:positionV relativeFrom="page">
                <wp:align>bottom</wp:align>
              </wp:positionV>
              <wp:extent cx="845185" cy="342900"/>
              <wp:effectExtent l="0" t="0" r="12065" b="0"/>
              <wp:wrapNone/>
              <wp:docPr id="117709699" name="Pole tekstowe 3"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2900"/>
                      </a:xfrm>
                      <a:prstGeom prst="rect">
                        <a:avLst/>
                      </a:prstGeom>
                      <a:noFill/>
                      <a:ln>
                        <a:noFill/>
                      </a:ln>
                    </wps:spPr>
                    <wps:txbx>
                      <w:txbxContent>
                        <w:p w14:paraId="643C2CE1" w14:textId="73929A2A"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E4CB2" id="_x0000_t202" coordsize="21600,21600" o:spt="202" path="m,l,21600r21600,l21600,xe">
              <v:stroke joinstyle="miter"/>
              <v:path gradientshapeok="t" o:connecttype="rect"/>
            </v:shapetype>
            <v:shape id="Pole tekstowe 3" o:spid="_x0000_s1027" type="#_x0000_t202" alt="C1 - Internal use" style="position:absolute;margin-left:0;margin-top:0;width:66.55pt;height:27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5nDQIAABwEAAAOAAAAZHJzL2Uyb0RvYy54bWysU99v2jAQfp+0/8Hy+0hgZaIRoWKtmCah&#10;thKd+mwcm0SKfdbZkLC/fmdDoOv2NO3Fudyd78f3fZ7f9aZlB4W+AVvy8SjnTFkJVWN3Jf/xsvo0&#10;48wHYSvRglUlPyrP7xYfP8w7V6gJ1NBWChkVsb7oXMnrEFyRZV7Wygg/AqcsBTWgEYF+cZdVKDqq&#10;btpskudfsg6wcghSeU/eh1OQL1J9rZUMT1p7FVhbcpotpBPTuY1ntpiLYofC1Y08jyH+YQojGktN&#10;L6UeRBBsj80fpUwjETzoMJJgMtC6kSrtQNuM83fbbGrhVNqFwPHuApP/f2Xl42HjnpGF/iv0RGAE&#10;pHO+8OSM+/QaTfzSpIziBOHxApvqA5PknN1Mx7MpZ5JCn28mt3mCNbtedujDNwWGRaPkSKwksMRh&#10;7QM1pNQhJfaysGraNjHT2t8clBg92XXCaIV+27OmejP9FqojLYVw4ts7uWqo9Vr48CyQCKY9SLTh&#10;iQ7dQldyOFuc1YA//+aP+YQ7RTnrSDAlt6RoztrvlviI2hoMHIxtMsa3+ZQgYXZv7oFkOKYX4WQy&#10;yYuhHUyNYF5JzsvYiELCSmpX8u1g3oeTcuk5SLVcpiSSkRNhbTdOxtIRrojlS/8q0J0BD8TUIwxq&#10;EsU73E+58aZ3y30g9BMpEdoTkGfESYKJq/NziRp/+5+yro968QsAAP//AwBQSwMEFAAGAAgAAAAh&#10;AJk7EhnaAAAABAEAAA8AAABkcnMvZG93bnJldi54bWxMj8FKw0AQhu+C77CM4M1u2qhIzKZIwVNF&#10;aOvF23R3mkSzsyG7adO3d+pFLwPD//PNN+Vy8p060hDbwAbmswwUsQ2u5drAx+717glUTMgOu8Bk&#10;4EwRltX1VYmFCyfe0HGbaiUQjgUaaFLqC62jbchjnIWeWLJDGDwmWYdauwFPAvedXmTZo/bYslxo&#10;sKdVQ/Z7O3oDD5v0Nr7zLv+cFuevdb+y+WFtjbm9mV6eQSWa0l8ZLvqiDpU47cPILqrOgDySfucl&#10;y/M5qL2A7zPQVan/y1c/AAAA//8DAFBLAQItABQABgAIAAAAIQC2gziS/gAAAOEBAAATAAAAAAAA&#10;AAAAAAAAAAAAAABbQ29udGVudF9UeXBlc10ueG1sUEsBAi0AFAAGAAgAAAAhADj9If/WAAAAlAEA&#10;AAsAAAAAAAAAAAAAAAAALwEAAF9yZWxzLy5yZWxzUEsBAi0AFAAGAAgAAAAhAPYsjmcNAgAAHAQA&#10;AA4AAAAAAAAAAAAAAAAALgIAAGRycy9lMm9Eb2MueG1sUEsBAi0AFAAGAAgAAAAhAJk7EhnaAAAA&#10;BAEAAA8AAAAAAAAAAAAAAAAAZwQAAGRycy9kb3ducmV2LnhtbFBLBQYAAAAABAAEAPMAAABuBQAA&#10;AAA=&#10;" filled="f" stroked="f">
              <v:fill o:detectmouseclick="t"/>
              <v:textbox style="mso-fit-shape-to-text:t" inset="0,0,0,15pt">
                <w:txbxContent>
                  <w:p w14:paraId="643C2CE1" w14:textId="73929A2A"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F1B0" w14:textId="27C3EF6D" w:rsidR="00B7288B" w:rsidRDefault="00B7288B">
    <w:pPr>
      <w:pStyle w:val="Stopka"/>
    </w:pPr>
    <w:r>
      <w:rPr>
        <w:noProof/>
      </w:rPr>
      <mc:AlternateContent>
        <mc:Choice Requires="wps">
          <w:drawing>
            <wp:anchor distT="0" distB="0" distL="0" distR="0" simplePos="0" relativeHeight="251658240" behindDoc="0" locked="0" layoutInCell="1" allowOverlap="1" wp14:anchorId="22C502E3" wp14:editId="6372854E">
              <wp:simplePos x="635" y="635"/>
              <wp:positionH relativeFrom="page">
                <wp:align>center</wp:align>
              </wp:positionH>
              <wp:positionV relativeFrom="page">
                <wp:align>bottom</wp:align>
              </wp:positionV>
              <wp:extent cx="845185" cy="342900"/>
              <wp:effectExtent l="0" t="0" r="12065" b="0"/>
              <wp:wrapNone/>
              <wp:docPr id="145860914" name="Pole tekstowe 1"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2900"/>
                      </a:xfrm>
                      <a:prstGeom prst="rect">
                        <a:avLst/>
                      </a:prstGeom>
                      <a:noFill/>
                      <a:ln>
                        <a:noFill/>
                      </a:ln>
                    </wps:spPr>
                    <wps:txbx>
                      <w:txbxContent>
                        <w:p w14:paraId="4407A914" w14:textId="74EE4838"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C502E3" id="_x0000_t202" coordsize="21600,21600" o:spt="202" path="m,l,21600r21600,l21600,xe">
              <v:stroke joinstyle="miter"/>
              <v:path gradientshapeok="t" o:connecttype="rect"/>
            </v:shapetype>
            <v:shape id="Pole tekstowe 1" o:spid="_x0000_s1028" type="#_x0000_t202" alt="C1 - Internal use" style="position:absolute;margin-left:0;margin-top:0;width:66.55pt;height:27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khDwIAABwEAAAOAAAAZHJzL2Uyb0RvYy54bWysU99v2jAQfp+0/8Hy+0hgZaIRoWKtmCah&#10;thKd+mwcm0RyfNbZkLC/fmdDoOv2NO3Fudyd78f3fZ7f9a1hB4W+AVvy8SjnTFkJVWN3Jf/xsvo0&#10;48wHYSthwKqSH5Xnd4uPH+adK9QEajCVQkZFrC86V/I6BFdkmZe1aoUfgVOWghqwFYF+cZdVKDqq&#10;3ppskudfsg6wcghSeU/eh1OQL1J9rZUMT1p7FZgpOc0W0onp3MYzW8xFsUPh6kaexxD/MEUrGktN&#10;L6UeRBBsj80fpdpGInjQYSShzUDrRqq0A20zzt9ts6mFU2kXAse7C0z+/5WVj4eNe0YW+q/QE4ER&#10;kM75wpMz7tNrbOOXJmUUJwiPF9hUH5gk5+xmOp5NOZMU+nwzuc0TrNn1skMfviloWTRKjsRKAksc&#10;1j5QQ0odUmIvC6vGmMSMsb85KDF6suuE0Qr9tmdNVfLJMP0WqiMthXDi2zu5aqj1WvjwLJAIpj1I&#10;tOGJDm2gKzmcLc5qwJ9/88d8wp2inHUkmJJbUjRn5rslPqK2BgMHY5uM8W0+JUiY3bf3QDIc04tw&#10;MpnkxWAGUyO0ryTnZWxEIWEltSv5djDvw0m59BykWi5TEsnIibC2Gydj6QhXxPKlfxXozoAHYuoR&#10;BjWJ4h3up9x407vlPhD6iZQI7QnIM+IkwcTV+blEjb/9T1nXR734BQAA//8DAFBLAwQUAAYACAAA&#10;ACEAmTsSGdoAAAAEAQAADwAAAGRycy9kb3ducmV2LnhtbEyPwUrDQBCG74LvsIzgzW7aqEjMpkjB&#10;U0Vo68XbdHeaRLOzIbtp07d36kUvA8P/88035XLynTrSENvABuazDBSxDa7l2sDH7vXuCVRMyA67&#10;wGTgTBGW1fVViYULJ97QcZtqJRCOBRpoUuoLraNtyGOchZ5YskMYPCZZh1q7AU8C951eZNmj9tiy&#10;XGiwp1VD9ns7egMPm/Q2vvMu/5wW5691v7L5YW2Nub2ZXp5BJZrSXxku+qIOlTjtw8guqs6APJJ+&#10;5yXL8zmovYDvM9BVqf/LVz8AAAD//wMAUEsBAi0AFAAGAAgAAAAhALaDOJL+AAAA4QEAABMAAAAA&#10;AAAAAAAAAAAAAAAAAFtDb250ZW50X1R5cGVzXS54bWxQSwECLQAUAAYACAAAACEAOP0h/9YAAACU&#10;AQAACwAAAAAAAAAAAAAAAAAvAQAAX3JlbHMvLnJlbHNQSwECLQAUAAYACAAAACEAQe1ZIQ8CAAAc&#10;BAAADgAAAAAAAAAAAAAAAAAuAgAAZHJzL2Uyb0RvYy54bWxQSwECLQAUAAYACAAAACEAmTsSGdoA&#10;AAAEAQAADwAAAAAAAAAAAAAAAABpBAAAZHJzL2Rvd25yZXYueG1sUEsFBgAAAAAEAAQA8wAAAHAF&#10;AAAAAA==&#10;" filled="f" stroked="f">
              <v:fill o:detectmouseclick="t"/>
              <v:textbox style="mso-fit-shape-to-text:t" inset="0,0,0,15pt">
                <w:txbxContent>
                  <w:p w14:paraId="4407A914" w14:textId="74EE4838" w:rsidR="00B7288B" w:rsidRPr="00B7288B" w:rsidRDefault="00B7288B" w:rsidP="00B7288B">
                    <w:pPr>
                      <w:spacing w:after="0"/>
                      <w:rPr>
                        <w:rFonts w:ascii="Arial" w:eastAsia="Arial" w:hAnsi="Arial" w:cs="Arial"/>
                        <w:noProof/>
                        <w:color w:val="008000"/>
                        <w:sz w:val="18"/>
                        <w:szCs w:val="18"/>
                      </w:rPr>
                    </w:pPr>
                    <w:r w:rsidRPr="00B7288B">
                      <w:rPr>
                        <w:rFonts w:ascii="Arial" w:eastAsia="Arial" w:hAnsi="Arial" w:cs="Arial"/>
                        <w:noProof/>
                        <w:color w:val="008000"/>
                        <w:sz w:val="18"/>
                        <w:szCs w:val="18"/>
                      </w:rPr>
                      <w:t>C1 - 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EE028" w14:textId="77777777" w:rsidR="00EC439F" w:rsidRDefault="00EC439F">
      <w:pPr>
        <w:spacing w:after="0" w:line="240" w:lineRule="auto"/>
      </w:pPr>
      <w:r>
        <w:separator/>
      </w:r>
    </w:p>
  </w:footnote>
  <w:footnote w:type="continuationSeparator" w:id="0">
    <w:p w14:paraId="6C4D40EF" w14:textId="77777777" w:rsidR="00EC439F" w:rsidRDefault="00EC439F">
      <w:pPr>
        <w:spacing w:after="0" w:line="240" w:lineRule="auto"/>
      </w:pPr>
      <w:r>
        <w:continuationSeparator/>
      </w:r>
    </w:p>
  </w:footnote>
  <w:footnote w:id="1">
    <w:p w14:paraId="2A5AD7BB" w14:textId="77777777" w:rsidR="00983D7E" w:rsidRDefault="00983D7E" w:rsidP="00983D7E">
      <w:pPr>
        <w:pStyle w:val="Tekstprzypisudolnego"/>
      </w:pPr>
      <w:r>
        <w:rPr>
          <w:rStyle w:val="Odwoanieprzypisudolnego"/>
        </w:rPr>
        <w:footnoteRef/>
      </w:r>
      <w:r>
        <w:t xml:space="preserve"> </w:t>
      </w:r>
      <w:r w:rsidRPr="003808AF">
        <w:t>Funkcjonowanie kobiet i mężczyzn w nauce (2022). Wyniki sondażu Opracowanie Zespołu ds. Analiz i Ewaluacji NCN oraz Komisji Analiz Aktywności Naukowej Rady NCN 2022. Dostęp 31.10.2025: Funkcjonowanie kobiet i mężczyzn w nauce_wyniki sondażu_z_linkiem.pdf</w:t>
      </w:r>
      <w:r>
        <w:t xml:space="preserve"> </w:t>
      </w:r>
    </w:p>
  </w:footnote>
  <w:footnote w:id="2">
    <w:p w14:paraId="762FA046" w14:textId="77777777" w:rsidR="0003629D" w:rsidRDefault="0003629D" w:rsidP="0003629D">
      <w:pPr>
        <w:pStyle w:val="Tekstprzypisudolnego"/>
      </w:pPr>
      <w:r>
        <w:rPr>
          <w:rStyle w:val="Odwoanieprzypisudolnego"/>
        </w:rPr>
        <w:footnoteRef/>
      </w:r>
      <w:r>
        <w:t xml:space="preserve"> </w:t>
      </w:r>
      <w:r w:rsidRPr="00C03132">
        <w:t>Według danych systemu POL-on, https://www.gov.pl/web/nauka/rada-ds-kobiet-w-szkolnictwie-wyzszym-i-nauce-nowy-krok-ku-rownosci [dostęp: 23.10.2025 r.].</w:t>
      </w:r>
      <w:r>
        <w:t xml:space="preserve"> </w:t>
      </w:r>
    </w:p>
  </w:footnote>
  <w:footnote w:id="3">
    <w:p w14:paraId="4D04E5F1" w14:textId="77777777" w:rsidR="0003629D" w:rsidRDefault="0003629D" w:rsidP="0003629D">
      <w:pPr>
        <w:pStyle w:val="Tekstprzypisudolnego"/>
      </w:pPr>
      <w:r>
        <w:rPr>
          <w:rStyle w:val="Odwoanieprzypisudolnego"/>
        </w:rPr>
        <w:footnoteRef/>
      </w:r>
      <w:r>
        <w:t xml:space="preserve"> </w:t>
      </w:r>
      <w:r w:rsidRPr="00D51E39">
        <w:t xml:space="preserve">Nauka w Polsce (2023). Raport Ośrodka Przetwarzania Informacji, dostęp 31.10.2025, </w:t>
      </w:r>
      <w:hyperlink r:id="rId1" w:history="1">
        <w:r w:rsidRPr="00A84854">
          <w:rPr>
            <w:rStyle w:val="Hipercze"/>
          </w:rPr>
          <w:t>https://radon.nauka.gov.pl/analizy/nauka-w-Polsce-2024</w:t>
        </w:r>
      </w:hyperlink>
      <w:r>
        <w:t xml:space="preserve"> </w:t>
      </w:r>
    </w:p>
  </w:footnote>
  <w:footnote w:id="4">
    <w:p w14:paraId="439BD338" w14:textId="77777777" w:rsidR="0003629D" w:rsidRDefault="0003629D" w:rsidP="0003629D">
      <w:pPr>
        <w:pStyle w:val="Tekstprzypisudolnego"/>
      </w:pPr>
      <w:r>
        <w:rPr>
          <w:rStyle w:val="Odwoanieprzypisudolnego"/>
        </w:rPr>
        <w:footnoteRef/>
      </w:r>
      <w:r>
        <w:t xml:space="preserve"> </w:t>
      </w:r>
      <w:r w:rsidRPr="00387DA5">
        <w:t xml:space="preserve">Funkcjonowanie kobiet i mężczyzn w nauce (2022). Wyniki sondażu Opracowanie Zespołu ds. Analiz i Ewaluacji NCN oraz Komisji Analiz Aktywności Naukowej Rady NCN 2022. Dostęp 31.10.2025: </w:t>
      </w:r>
      <w:hyperlink r:id="rId2" w:history="1">
        <w:r w:rsidRPr="00A84854">
          <w:rPr>
            <w:rStyle w:val="Hipercze"/>
          </w:rPr>
          <w:t>https://ncn.gov.pl/sites/default/files/pliki/centrum-prasowe/2022.02.16-forumakademickie-funkcjonowanie-kobiet-i-mezczyzn-w-nauce.pdf</w:t>
        </w:r>
      </w:hyperlink>
      <w:r>
        <w:t xml:space="preserve"> </w:t>
      </w:r>
    </w:p>
  </w:footnote>
  <w:footnote w:id="5">
    <w:p w14:paraId="4DC9C42B" w14:textId="77777777" w:rsidR="00945EA6" w:rsidRPr="007B1449" w:rsidRDefault="00945EA6" w:rsidP="00945EA6">
      <w:pPr>
        <w:pStyle w:val="Tekstprzypisudolnego"/>
        <w:rPr>
          <w:lang w:val="en-US"/>
        </w:rPr>
      </w:pPr>
      <w:r>
        <w:rPr>
          <w:rStyle w:val="Odwoanieprzypisudolnego"/>
        </w:rPr>
        <w:footnoteRef/>
      </w:r>
      <w:r w:rsidRPr="007B1449">
        <w:rPr>
          <w:lang w:val="en-US"/>
        </w:rPr>
        <w:t xml:space="preserve"> Ghiasi, Gita, et al. (2018). Gender homophily in citations. Conference Proceedings: the 3rd International Conference on Science and Technology Indicators (STI 2018). </w:t>
      </w:r>
    </w:p>
  </w:footnote>
  <w:footnote w:id="6">
    <w:p w14:paraId="08FC2FB5" w14:textId="77777777" w:rsidR="00945EA6" w:rsidRDefault="00945EA6" w:rsidP="00945EA6">
      <w:pPr>
        <w:pStyle w:val="Tekstprzypisudolnego"/>
      </w:pPr>
      <w:r>
        <w:rPr>
          <w:rStyle w:val="Odwoanieprzypisudolnego"/>
        </w:rPr>
        <w:footnoteRef/>
      </w:r>
      <w:r w:rsidRPr="007B1449">
        <w:rPr>
          <w:lang w:val="en-US"/>
        </w:rPr>
        <w:t xml:space="preserve"> Lerchenmueller, M. J., Sorenson, O., &amp; Jena, A. B. (2019). Gender differences in how scientists present the importance of their research: observational study. </w:t>
      </w:r>
      <w:r w:rsidRPr="009F1E8E">
        <w:t xml:space="preserve">BMJ (Clinical research ed.), 367, l6573. </w:t>
      </w:r>
      <w:hyperlink r:id="rId3" w:history="1">
        <w:r w:rsidRPr="00A84854">
          <w:rPr>
            <w:rStyle w:val="Hipercze"/>
          </w:rPr>
          <w:t>https://doi.org/10.1136/bmj.l6573</w:t>
        </w:r>
      </w:hyperlink>
      <w:r>
        <w:t xml:space="preserve"> </w:t>
      </w:r>
    </w:p>
  </w:footnote>
  <w:footnote w:id="7">
    <w:p w14:paraId="712C0506" w14:textId="77777777" w:rsidR="00945EA6" w:rsidRDefault="00945EA6" w:rsidP="00945EA6">
      <w:pPr>
        <w:spacing w:after="0" w:line="240" w:lineRule="auto"/>
        <w:rPr>
          <w:sz w:val="20"/>
          <w:szCs w:val="20"/>
        </w:rPr>
      </w:pPr>
      <w:r>
        <w:rPr>
          <w:vertAlign w:val="superscript"/>
        </w:rPr>
        <w:footnoteRef/>
      </w:r>
      <w:r>
        <w:rPr>
          <w:sz w:val="20"/>
          <w:szCs w:val="20"/>
        </w:rPr>
        <w:t xml:space="preserve"> </w:t>
      </w:r>
      <w:r>
        <w:rPr>
          <w:i/>
          <w:iCs/>
          <w:sz w:val="20"/>
          <w:szCs w:val="20"/>
        </w:rPr>
        <w:t>Science in Poland / PAP</w:t>
      </w:r>
      <w:r>
        <w:rPr>
          <w:sz w:val="20"/>
          <w:szCs w:val="20"/>
        </w:rPr>
        <w:t>, „Prof. Łojkowska: musimy wspierać kobiety na ścieżce naukowej, inaczej tracimy”, dostęp online:</w:t>
      </w:r>
      <w:hyperlink r:id="rId4">
        <w:r>
          <w:rPr>
            <w:sz w:val="20"/>
            <w:szCs w:val="20"/>
          </w:rPr>
          <w:t xml:space="preserve"> </w:t>
        </w:r>
      </w:hyperlink>
      <w:hyperlink r:id="rId5">
        <w:r>
          <w:rPr>
            <w:color w:val="1155CC"/>
            <w:sz w:val="20"/>
            <w:szCs w:val="20"/>
            <w:u w:val="single"/>
          </w:rPr>
          <w:t>https://scienceinpoland.pap.pl/aktualnosci/news%2C106587%2Cprof-lojkowska-musimy-wspierac-kobiety-na-sciezce-naukowej-inaczej-tracimy</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84"/>
    <w:rsid w:val="0003629D"/>
    <w:rsid w:val="000C2909"/>
    <w:rsid w:val="00160E8B"/>
    <w:rsid w:val="001647EF"/>
    <w:rsid w:val="001D4F48"/>
    <w:rsid w:val="001D7CF4"/>
    <w:rsid w:val="00227DB0"/>
    <w:rsid w:val="002518A1"/>
    <w:rsid w:val="0029217B"/>
    <w:rsid w:val="002B479C"/>
    <w:rsid w:val="003C1D50"/>
    <w:rsid w:val="003D70C4"/>
    <w:rsid w:val="00413937"/>
    <w:rsid w:val="00432A0E"/>
    <w:rsid w:val="004517A0"/>
    <w:rsid w:val="004A7C77"/>
    <w:rsid w:val="00512C13"/>
    <w:rsid w:val="005C5571"/>
    <w:rsid w:val="00646222"/>
    <w:rsid w:val="00694D8E"/>
    <w:rsid w:val="006C3684"/>
    <w:rsid w:val="006D7487"/>
    <w:rsid w:val="006E049B"/>
    <w:rsid w:val="00727D8F"/>
    <w:rsid w:val="00766DA0"/>
    <w:rsid w:val="007B1449"/>
    <w:rsid w:val="007B2FCB"/>
    <w:rsid w:val="00827A22"/>
    <w:rsid w:val="00855309"/>
    <w:rsid w:val="00945EA6"/>
    <w:rsid w:val="00945FB0"/>
    <w:rsid w:val="00946D58"/>
    <w:rsid w:val="00983D7E"/>
    <w:rsid w:val="00997E36"/>
    <w:rsid w:val="009D14D6"/>
    <w:rsid w:val="009D2171"/>
    <w:rsid w:val="00A46A9F"/>
    <w:rsid w:val="00B23BED"/>
    <w:rsid w:val="00B61C94"/>
    <w:rsid w:val="00B7288B"/>
    <w:rsid w:val="00B74443"/>
    <w:rsid w:val="00B93E33"/>
    <w:rsid w:val="00BF0A9F"/>
    <w:rsid w:val="00C00F67"/>
    <w:rsid w:val="00C7583F"/>
    <w:rsid w:val="00C85590"/>
    <w:rsid w:val="00D82CD3"/>
    <w:rsid w:val="00D93A69"/>
    <w:rsid w:val="00DF1618"/>
    <w:rsid w:val="00E53124"/>
    <w:rsid w:val="00E60EC3"/>
    <w:rsid w:val="00EB094A"/>
    <w:rsid w:val="00EC439F"/>
    <w:rsid w:val="00F115A9"/>
    <w:rsid w:val="00F14FBC"/>
    <w:rsid w:val="00F32F96"/>
    <w:rsid w:val="00F36F63"/>
    <w:rsid w:val="00F4184B"/>
    <w:rsid w:val="00FA12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B2B9"/>
  <w15:docId w15:val="{C68A233B-606D-4E83-9E17-C9A2151D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uiPriority w:val="9"/>
    <w:semiHidden/>
    <w:unhideWhenUsed/>
    <w:qFormat/>
    <w:rsid w:val="00CE426F"/>
    <w:pPr>
      <w:keepNext/>
      <w:keepLines/>
      <w:spacing w:before="40" w:after="0"/>
      <w:outlineLvl w:val="6"/>
    </w:pPr>
    <w:rPr>
      <w:rFonts w:eastAsiaTheme="majorEastAsia" w:cstheme="majorBidi"/>
      <w:color w:val="595959" w:themeColor="text1" w:themeTint="A6"/>
    </w:rPr>
  </w:style>
  <w:style w:type="paragraph" w:styleId="Nagwek8">
    <w:name w:val="heading 8"/>
    <w:uiPriority w:val="9"/>
    <w:semiHidden/>
    <w:unhideWhenUsed/>
    <w:qFormat/>
    <w:rsid w:val="00CE426F"/>
    <w:pPr>
      <w:keepNext/>
      <w:keepLines/>
      <w:spacing w:after="0"/>
      <w:outlineLvl w:val="7"/>
    </w:pPr>
    <w:rPr>
      <w:rFonts w:eastAsiaTheme="majorEastAsia" w:cstheme="majorBidi"/>
      <w:i/>
      <w:iCs/>
      <w:color w:val="272727" w:themeColor="text1" w:themeTint="D8"/>
    </w:rPr>
  </w:style>
  <w:style w:type="paragraph" w:styleId="Nagwek9">
    <w:name w:val="heading 9"/>
    <w:uiPriority w:val="9"/>
    <w:semiHidden/>
    <w:unhideWhenUsed/>
    <w:qFormat/>
    <w:rsid w:val="00CE426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Tekstprzypisudolnego">
    <w:name w:val="footnote text"/>
    <w:link w:val="TekstprzypisudolnegoZnak"/>
    <w:uiPriority w:val="99"/>
    <w:semiHidden/>
    <w:unhideWhenUsed/>
    <w:rsid w:val="00ED74A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D74AE"/>
    <w:rPr>
      <w:sz w:val="20"/>
      <w:szCs w:val="20"/>
    </w:rPr>
  </w:style>
  <w:style w:type="character" w:styleId="Odwoanieprzypisudolnego">
    <w:name w:val="footnote reference"/>
    <w:basedOn w:val="Domylnaczcionkaakapitu"/>
    <w:uiPriority w:val="99"/>
    <w:semiHidden/>
    <w:unhideWhenUsed/>
    <w:rsid w:val="00ED74AE"/>
    <w:rPr>
      <w:vertAlign w:val="superscript"/>
    </w:rPr>
  </w:style>
  <w:style w:type="paragraph" w:styleId="Akapitzlist">
    <w:name w:val="List Paragraph"/>
    <w:uiPriority w:val="34"/>
    <w:qFormat/>
    <w:rsid w:val="00CE426F"/>
    <w:pPr>
      <w:ind w:left="720"/>
      <w:contextualSpacing/>
    </w:pPr>
  </w:style>
  <w:style w:type="character" w:styleId="Wyrnienieintensywne">
    <w:name w:val="Intense Emphasis"/>
    <w:basedOn w:val="Domylnaczcionkaakapitu"/>
    <w:uiPriority w:val="21"/>
    <w:qFormat/>
    <w:rsid w:val="00CE426F"/>
    <w:rPr>
      <w:i/>
      <w:iCs/>
      <w:color w:val="0F4761" w:themeColor="accent1" w:themeShade="BF"/>
    </w:rPr>
  </w:style>
  <w:style w:type="character" w:styleId="Odwoanieintensywne">
    <w:name w:val="Intense Reference"/>
    <w:basedOn w:val="Domylnaczcionkaakapitu"/>
    <w:uiPriority w:val="32"/>
    <w:qFormat/>
    <w:rsid w:val="00CE426F"/>
    <w:rPr>
      <w:b/>
      <w:bCs/>
      <w:smallCaps/>
      <w:color w:val="0F4761" w:themeColor="accent1" w:themeShade="BF"/>
      <w:spacing w:val="5"/>
    </w:rPr>
  </w:style>
  <w:style w:type="paragraph" w:customStyle="1" w:styleId="Default">
    <w:name w:val="Default"/>
    <w:rsid w:val="000B0263"/>
    <w:pPr>
      <w:autoSpaceDE w:val="0"/>
      <w:autoSpaceDN w:val="0"/>
      <w:adjustRightInd w:val="0"/>
      <w:spacing w:after="0" w:line="240" w:lineRule="auto"/>
    </w:pPr>
    <w:rPr>
      <w:rFonts w:ascii="Calibri" w:hAnsi="Calibri" w:cs="Calibri"/>
      <w:color w:val="000000"/>
    </w:rPr>
  </w:style>
  <w:style w:type="character" w:customStyle="1" w:styleId="Nagwek1Znak">
    <w:name w:val="Nagłówek 1 Znak"/>
    <w:basedOn w:val="Domylnaczcionkaakapitu"/>
    <w:uiPriority w:val="9"/>
    <w:rsid w:val="0051355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uiPriority w:val="9"/>
    <w:semiHidden/>
    <w:rsid w:val="0051355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uiPriority w:val="9"/>
    <w:semiHidden/>
    <w:rsid w:val="0051355B"/>
    <w:rPr>
      <w:rFonts w:eastAsiaTheme="majorEastAsia" w:cstheme="majorBidi"/>
      <w:color w:val="0F4761" w:themeColor="accent1" w:themeShade="BF"/>
      <w:sz w:val="28"/>
      <w:szCs w:val="28"/>
    </w:rPr>
  </w:style>
  <w:style w:type="character" w:customStyle="1" w:styleId="Nagwek4Znak">
    <w:name w:val="Nagłówek 4 Znak"/>
    <w:basedOn w:val="Domylnaczcionkaakapitu"/>
    <w:uiPriority w:val="9"/>
    <w:semiHidden/>
    <w:rsid w:val="0051355B"/>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51355B"/>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51355B"/>
    <w:rPr>
      <w:rFonts w:eastAsiaTheme="majorEastAsia" w:cstheme="majorBidi"/>
      <w:i/>
      <w:iCs/>
      <w:color w:val="595959" w:themeColor="text1" w:themeTint="A6"/>
    </w:rPr>
  </w:style>
  <w:style w:type="character" w:customStyle="1" w:styleId="Nagwek7Znak">
    <w:name w:val="Nagłówek 7 Znak"/>
    <w:basedOn w:val="Domylnaczcionkaakapitu"/>
    <w:uiPriority w:val="9"/>
    <w:semiHidden/>
    <w:rsid w:val="0051355B"/>
    <w:rPr>
      <w:rFonts w:eastAsiaTheme="majorEastAsia" w:cstheme="majorBidi"/>
      <w:color w:val="595959" w:themeColor="text1" w:themeTint="A6"/>
    </w:rPr>
  </w:style>
  <w:style w:type="character" w:customStyle="1" w:styleId="Nagwek8Znak">
    <w:name w:val="Nagłówek 8 Znak"/>
    <w:basedOn w:val="Domylnaczcionkaakapitu"/>
    <w:uiPriority w:val="9"/>
    <w:semiHidden/>
    <w:rsid w:val="0051355B"/>
    <w:rPr>
      <w:rFonts w:eastAsiaTheme="majorEastAsia" w:cstheme="majorBidi"/>
      <w:i/>
      <w:iCs/>
      <w:color w:val="272727" w:themeColor="text1" w:themeTint="D8"/>
    </w:rPr>
  </w:style>
  <w:style w:type="character" w:customStyle="1" w:styleId="Nagwek9Znak">
    <w:name w:val="Nagłówek 9 Znak"/>
    <w:basedOn w:val="Domylnaczcionkaakapitu"/>
    <w:uiPriority w:val="9"/>
    <w:semiHidden/>
    <w:rsid w:val="0051355B"/>
    <w:rPr>
      <w:rFonts w:eastAsiaTheme="majorEastAsia" w:cstheme="majorBidi"/>
      <w:color w:val="272727" w:themeColor="text1" w:themeTint="D8"/>
    </w:rPr>
  </w:style>
  <w:style w:type="character" w:customStyle="1" w:styleId="TekstkomentarzaZnak">
    <w:name w:val="Tekst komentarza Znak"/>
    <w:basedOn w:val="Domylnaczcionkaakapitu"/>
    <w:link w:val="Tekstkomentarza"/>
    <w:uiPriority w:val="99"/>
    <w:rsid w:val="0051355B"/>
    <w:rPr>
      <w:sz w:val="20"/>
      <w:szCs w:val="20"/>
    </w:rPr>
  </w:style>
  <w:style w:type="paragraph" w:styleId="Tekstkomentarza">
    <w:name w:val="annotation text"/>
    <w:link w:val="TekstkomentarzaZnak"/>
    <w:uiPriority w:val="99"/>
    <w:unhideWhenUsed/>
    <w:rsid w:val="004B557D"/>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51355B"/>
    <w:rPr>
      <w:b/>
      <w:bCs/>
      <w:sz w:val="20"/>
      <w:szCs w:val="20"/>
    </w:rPr>
  </w:style>
  <w:style w:type="paragraph" w:styleId="Tematkomentarza">
    <w:name w:val="annotation subject"/>
    <w:basedOn w:val="Tekstkomentarza"/>
    <w:next w:val="Tekstkomentarza"/>
    <w:link w:val="TematkomentarzaZnak"/>
    <w:uiPriority w:val="99"/>
    <w:semiHidden/>
    <w:unhideWhenUsed/>
    <w:rsid w:val="004B557D"/>
    <w:rPr>
      <w:b/>
      <w:bCs/>
    </w:rPr>
  </w:style>
  <w:style w:type="paragraph" w:styleId="Nagwek">
    <w:name w:val="header"/>
    <w:link w:val="NagwekZnak"/>
    <w:uiPriority w:val="99"/>
    <w:semiHidden/>
    <w:unhideWhenUsed/>
    <w:rsid w:val="004B557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B557D"/>
  </w:style>
  <w:style w:type="paragraph" w:styleId="Stopka">
    <w:name w:val="footer"/>
    <w:link w:val="StopkaZnak"/>
    <w:uiPriority w:val="99"/>
    <w:unhideWhenUsed/>
    <w:rsid w:val="004B557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557D"/>
  </w:style>
  <w:style w:type="character" w:customStyle="1" w:styleId="CommentReference1">
    <w:name w:val="Comment Reference1"/>
    <w:basedOn w:val="Domylnaczcionkaakapitu"/>
    <w:uiPriority w:val="99"/>
    <w:semiHidden/>
    <w:unhideWhenUsed/>
    <w:rsid w:val="004B557D"/>
    <w:rPr>
      <w:sz w:val="16"/>
      <w:szCs w:val="16"/>
    </w:rPr>
  </w:style>
  <w:style w:type="character" w:styleId="Odwoaniedokomentarza">
    <w:name w:val="annotation reference"/>
    <w:basedOn w:val="Domylnaczcionkaakapitu"/>
    <w:uiPriority w:val="99"/>
    <w:semiHidden/>
    <w:unhideWhenUsed/>
    <w:rsid w:val="004B557D"/>
    <w:rPr>
      <w:sz w:val="16"/>
      <w:szCs w:val="16"/>
    </w:rPr>
  </w:style>
  <w:style w:type="character" w:customStyle="1" w:styleId="TekstkomentarzaZnak1">
    <w:name w:val="Tekst komentarza Znak1"/>
    <w:basedOn w:val="Domylnaczcionkaakapitu"/>
    <w:uiPriority w:val="99"/>
    <w:rsid w:val="004B557D"/>
    <w:rPr>
      <w:sz w:val="20"/>
      <w:szCs w:val="20"/>
    </w:rPr>
  </w:style>
  <w:style w:type="character" w:customStyle="1" w:styleId="TematkomentarzaZnak1">
    <w:name w:val="Temat komentarza Znak1"/>
    <w:basedOn w:val="TekstkomentarzaZnak1"/>
    <w:uiPriority w:val="99"/>
    <w:semiHidden/>
    <w:rsid w:val="004B557D"/>
    <w:rPr>
      <w:b/>
      <w:bCs/>
      <w:sz w:val="20"/>
      <w:szCs w:val="20"/>
    </w:rPr>
  </w:style>
  <w:style w:type="table" w:customStyle="1" w:styleId="NormalTable0">
    <w:name w:val="Normal Table0"/>
    <w:uiPriority w:val="99"/>
    <w:semiHidden/>
    <w:unhideWhenUsed/>
    <w:rsid w:val="004B557D"/>
    <w:tblPr>
      <w:tblInd w:w="0" w:type="dxa"/>
      <w:tblCellMar>
        <w:top w:w="0" w:type="dxa"/>
        <w:left w:w="108" w:type="dxa"/>
        <w:bottom w:w="0" w:type="dxa"/>
        <w:right w:w="108" w:type="dxa"/>
      </w:tblCellMar>
    </w:tblPr>
  </w:style>
  <w:style w:type="paragraph" w:styleId="Poprawka">
    <w:name w:val="Revision"/>
    <w:hidden/>
    <w:uiPriority w:val="99"/>
    <w:semiHidden/>
    <w:rsid w:val="009B1EE2"/>
    <w:pPr>
      <w:spacing w:after="0" w:line="240" w:lineRule="auto"/>
    </w:pPr>
  </w:style>
  <w:style w:type="character" w:styleId="Hipercze">
    <w:name w:val="Hyperlink"/>
    <w:basedOn w:val="Domylnaczcionkaakapitu"/>
    <w:uiPriority w:val="99"/>
    <w:unhideWhenUsed/>
    <w:rsid w:val="00564BF5"/>
    <w:rPr>
      <w:color w:val="467886" w:themeColor="hyperlink"/>
      <w:u w:val="single"/>
    </w:rPr>
  </w:style>
  <w:style w:type="character" w:styleId="Nierozpoznanawzmianka">
    <w:name w:val="Unresolved Mention"/>
    <w:basedOn w:val="Domylnaczcionkaakapitu"/>
    <w:uiPriority w:val="99"/>
    <w:semiHidden/>
    <w:unhideWhenUsed/>
    <w:rsid w:val="00564BF5"/>
    <w:rPr>
      <w:color w:val="605E5C"/>
      <w:shd w:val="clear" w:color="auto" w:fill="E1DFDD"/>
    </w:rPr>
  </w:style>
  <w:style w:type="table" w:styleId="Tabela-Siatka">
    <w:name w:val="Table Grid"/>
    <w:basedOn w:val="Standardowy"/>
    <w:uiPriority w:val="59"/>
    <w:rsid w:val="00CB2C9C"/>
    <w:pPr>
      <w:spacing w:after="0" w:line="240" w:lineRule="auto"/>
    </w:pPr>
    <w:tblPr/>
  </w:style>
  <w:style w:type="character" w:styleId="UyteHipercze">
    <w:name w:val="FollowedHyperlink"/>
    <w:basedOn w:val="Domylnaczcionkaakapitu"/>
    <w:uiPriority w:val="99"/>
    <w:semiHidden/>
    <w:unhideWhenUsed/>
    <w:rsid w:val="00CB2837"/>
    <w:rPr>
      <w:color w:val="96607D"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barbara.stepien@loreal.com" TargetMode="External"/><Relationship Id="rId2" Type="http://schemas.openxmlformats.org/officeDocument/2006/relationships/customXml" Target="../customXml/item2.xml"/><Relationship Id="rId16" Type="http://schemas.openxmlformats.org/officeDocument/2006/relationships/hyperlink" Target="http://www.lorealdlakobietinauki.p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lorealdlakobietinauki.pl/raport-25-lat-dla-kobiet-w-nauce-efekt-nagrody/"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orealdlakobietinauki.pl/dla-kandydate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doi.org/10.1136/bmj.l6573" TargetMode="External"/><Relationship Id="rId2" Type="http://schemas.openxmlformats.org/officeDocument/2006/relationships/hyperlink" Target="https://ncn.gov.pl/sites/default/files/pliki/centrum-prasowe/2022.02.16-forumakademickie-funkcjonowanie-kobiet-i-mezczyzn-w-nauce.pdf" TargetMode="External"/><Relationship Id="rId1" Type="http://schemas.openxmlformats.org/officeDocument/2006/relationships/hyperlink" Target="https://radon.nauka.gov.pl/analizy/nauka-w-Polsce-2024" TargetMode="External"/><Relationship Id="rId5" Type="http://schemas.openxmlformats.org/officeDocument/2006/relationships/hyperlink" Target="https://scienceinpoland.pap.pl/aktualnosci/news%2C106587%2Cprof-lojkowska-musimy-wspierac-kobiety-na-sciezce-naukowej-inaczej-tracimy" TargetMode="External"/><Relationship Id="rId4" Type="http://schemas.openxmlformats.org/officeDocument/2006/relationships/hyperlink" Target="https://scienceinpoland.pap.pl/aktualnosci/news%2C106587%2Cprof-lojkowska-musimy-wspierac-kobiety-na-sciezce-naukowej-inaczej-tracim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KfI6eBgYeGxCYq3FsI1jXY9/Q==">CgMxLjAyDmguYmNkZHAwOHF3anFnMg5oLnQzc2U4cm16M2VwYzIOaC5yNnVrNnplajVtNWcyDmguc3c0ZzB4dHNyenhjMg5oLndxNDAyN3V5czdwajgAciExNkZiNW5wVkJIOE5IaV9ZRzVKMjRMTjdZbHliR2lQREM=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fdec37e-9091-4802-841e-343f19546e90" xsi:nil="true"/>
    <lcf76f155ced4ddcb4097134ff3c332f xmlns="978f6c95-e827-4f6b-bb13-1038401940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81EAB5724227746AAD42E566459D5D3" ma:contentTypeVersion="16" ma:contentTypeDescription="Utwórz nowy dokument." ma:contentTypeScope="" ma:versionID="5336b8e4cab8dbc60f8eb489c4fc914c">
  <xsd:schema xmlns:xsd="http://www.w3.org/2001/XMLSchema" xmlns:xs="http://www.w3.org/2001/XMLSchema" xmlns:p="http://schemas.microsoft.com/office/2006/metadata/properties" xmlns:ns2="afdec37e-9091-4802-841e-343f19546e90" xmlns:ns3="978f6c95-e827-4f6b-bb13-103840194066" targetNamespace="http://schemas.microsoft.com/office/2006/metadata/properties" ma:root="true" ma:fieldsID="3bd7047a2ac5bfdd9b83c5adadf32b4f" ns2:_="" ns3:_="">
    <xsd:import namespace="afdec37e-9091-4802-841e-343f19546e90"/>
    <xsd:import namespace="978f6c95-e827-4f6b-bb13-1038401940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ec37e-9091-4802-841e-343f19546e90"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19" nillable="true" ma:displayName="Taxonomy Catch All Column" ma:hidden="true" ma:list="{5643fdc5-1475-4014-b10b-7a4e8a267b1d}" ma:internalName="TaxCatchAll" ma:showField="CatchAllData" ma:web="afdec37e-9091-4802-841e-343f19546e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8f6c95-e827-4f6b-bb13-1038401940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Tagi obrazów" ma:readOnly="false" ma:fieldId="{5cf76f15-5ced-4ddc-b409-7134ff3c332f}" ma:taxonomyMulti="true" ma:sspId="e38d85f0-bf2e-42b8-9a23-ac85ea9afb9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A8A8DB-1AA6-47F7-9535-59E6FF561DF4}">
  <ds:schemaRefs>
    <ds:schemaRef ds:uri="http://schemas.microsoft.com/office/2006/metadata/properties"/>
    <ds:schemaRef ds:uri="http://schemas.microsoft.com/office/infopath/2007/PartnerControls"/>
    <ds:schemaRef ds:uri="afdec37e-9091-4802-841e-343f19546e90"/>
    <ds:schemaRef ds:uri="978f6c95-e827-4f6b-bb13-103840194066"/>
  </ds:schemaRefs>
</ds:datastoreItem>
</file>

<file path=customXml/itemProps3.xml><?xml version="1.0" encoding="utf-8"?>
<ds:datastoreItem xmlns:ds="http://schemas.openxmlformats.org/officeDocument/2006/customXml" ds:itemID="{78A353F8-808A-4568-B6D6-BC9C405947E4}">
  <ds:schemaRefs>
    <ds:schemaRef ds:uri="http://schemas.microsoft.com/sharepoint/v3/contenttype/forms"/>
  </ds:schemaRefs>
</ds:datastoreItem>
</file>

<file path=customXml/itemProps4.xml><?xml version="1.0" encoding="utf-8"?>
<ds:datastoreItem xmlns:ds="http://schemas.openxmlformats.org/officeDocument/2006/customXml" ds:itemID="{578B065C-8718-4119-8953-1F7295281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ec37e-9091-4802-841e-343f19546e90"/>
    <ds:schemaRef ds:uri="978f6c95-e827-4f6b-bb13-103840194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1312</Words>
  <Characters>7874</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Trakul</dc:creator>
  <cp:lastModifiedBy>Paulina Fajtek</cp:lastModifiedBy>
  <cp:revision>4</cp:revision>
  <dcterms:created xsi:type="dcterms:W3CDTF">2026-02-05T07:52:00Z</dcterms:created>
  <dcterms:modified xsi:type="dcterms:W3CDTF">2026-02-06T10:09:00Z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0x010100B81EAB5724227746AAD42E566459D5D3</vt:lpwstr>
  </property>
  <property fmtid="{D5CDD505-2E9C-101B-9397-08002B2CF9AE}" pid="3" name="MediaServiceImageTags">
    <vt:lpwstr/>
  </property>
  <property fmtid="{D5CDD505-2E9C-101B-9397-08002B2CF9AE}" pid="4" name="ClassificationContentMarkingFooterShapeIds">
    <vt:lpwstr>8b1a932,2f51c63d,7041b83</vt:lpwstr>
  </property>
  <property fmtid="{D5CDD505-2E9C-101B-9397-08002B2CF9AE}" pid="5" name="ClassificationContentMarkingFooterFontProps">
    <vt:lpwstr>#008000,9,arial</vt:lpwstr>
  </property>
  <property fmtid="{D5CDD505-2E9C-101B-9397-08002B2CF9AE}" pid="6" name="ClassificationContentMarkingFooterText">
    <vt:lpwstr>C1 - Internal use</vt:lpwstr>
  </property>
  <property fmtid="{D5CDD505-2E9C-101B-9397-08002B2CF9AE}" pid="7" name="MSIP_Label_f43b7177-c66c-4b22-a350-7ee86f9a1e74_Enabled">
    <vt:lpwstr>true</vt:lpwstr>
  </property>
  <property fmtid="{D5CDD505-2E9C-101B-9397-08002B2CF9AE}" pid="8" name="MSIP_Label_f43b7177-c66c-4b22-a350-7ee86f9a1e74_SetDate">
    <vt:lpwstr>2026-02-05T07:52:57Z</vt:lpwstr>
  </property>
  <property fmtid="{D5CDD505-2E9C-101B-9397-08002B2CF9AE}" pid="9" name="MSIP_Label_f43b7177-c66c-4b22-a350-7ee86f9a1e74_Method">
    <vt:lpwstr>Standard</vt:lpwstr>
  </property>
  <property fmtid="{D5CDD505-2E9C-101B-9397-08002B2CF9AE}" pid="10" name="MSIP_Label_f43b7177-c66c-4b22-a350-7ee86f9a1e74_Name">
    <vt:lpwstr>C1_Internal use</vt:lpwstr>
  </property>
  <property fmtid="{D5CDD505-2E9C-101B-9397-08002B2CF9AE}" pid="11" name="MSIP_Label_f43b7177-c66c-4b22-a350-7ee86f9a1e74_SiteId">
    <vt:lpwstr>e4e1abd9-eac7-4a71-ab52-da5c998aa7ba</vt:lpwstr>
  </property>
  <property fmtid="{D5CDD505-2E9C-101B-9397-08002B2CF9AE}" pid="12" name="MSIP_Label_f43b7177-c66c-4b22-a350-7ee86f9a1e74_ActionId">
    <vt:lpwstr>fae05bb1-ef5a-4c38-ba65-1308311a6258</vt:lpwstr>
  </property>
  <property fmtid="{D5CDD505-2E9C-101B-9397-08002B2CF9AE}" pid="13" name="MSIP_Label_f43b7177-c66c-4b22-a350-7ee86f9a1e74_ContentBits">
    <vt:lpwstr>2</vt:lpwstr>
  </property>
  <property fmtid="{D5CDD505-2E9C-101B-9397-08002B2CF9AE}" pid="14" name="MSIP_Label_f43b7177-c66c-4b22-a350-7ee86f9a1e74_Tag">
    <vt:lpwstr>10, 3, 0, 1</vt:lpwstr>
  </property>
</Properties>
</file>